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天津市司法局</w:t>
      </w:r>
      <w:r>
        <w:rPr>
          <w:rFonts w:hint="eastAsia" w:ascii="方正小标宋简体" w:hAnsi="方正小标宋_GBK" w:eastAsia="方正小标宋简体" w:cs="方正小标宋_GBK"/>
          <w:sz w:val="56"/>
          <w:szCs w:val="56"/>
          <w:lang w:eastAsia="zh-CN"/>
        </w:rPr>
        <w:t>（本级）</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w:t>
      </w:r>
      <w:bookmarkStart w:id="13" w:name="_GoBack"/>
      <w:bookmarkEnd w:id="13"/>
      <w:r>
        <w:rPr>
          <w:rFonts w:hint="eastAsia" w:ascii="方正小标宋简体" w:hAnsi="方正小标宋_GBK" w:eastAsia="方正小标宋简体" w:cs="方正小标宋_GBK"/>
          <w:sz w:val="56"/>
          <w:szCs w:val="56"/>
        </w:rPr>
        <w:t>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1.数字化运维项目绩效目标表                    </w:t>
      </w:r>
      <w:r>
        <w:fldChar w:fldCharType="end"/>
      </w:r>
    </w:p>
    <w:p>
      <w:pPr>
        <w:pStyle w:val="17"/>
        <w:tabs>
          <w:tab w:val="right" w:leader="dot" w:pos="9282"/>
        </w:tabs>
      </w:pPr>
      <w:r>
        <w:fldChar w:fldCharType="begin"/>
      </w:r>
      <w:r>
        <w:instrText xml:space="preserve"> HYPERLINK \l "_Toc_4_4_0000000005" </w:instrText>
      </w:r>
      <w:r>
        <w:fldChar w:fldCharType="separate"/>
      </w:r>
      <w:r>
        <w:t xml:space="preserve">2.司法保障与管理业务经费绩效目标表                     </w:t>
      </w:r>
      <w:r>
        <w:fldChar w:fldCharType="end"/>
      </w:r>
    </w:p>
    <w:p>
      <w:pPr>
        <w:pStyle w:val="17"/>
        <w:tabs>
          <w:tab w:val="right" w:leader="dot" w:pos="9282"/>
        </w:tabs>
      </w:pPr>
      <w:r>
        <w:fldChar w:fldCharType="begin"/>
      </w:r>
      <w:r>
        <w:instrText xml:space="preserve"> HYPERLINK \l "_Toc_4_4_0000000006" </w:instrText>
      </w:r>
      <w:r>
        <w:fldChar w:fldCharType="separate"/>
      </w:r>
      <w:r>
        <w:t>3.调解工作项目绩效目标表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t>4.法律职业资格考试项目绩效目标表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t>5.法治建设项目绩效目标表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t>6.公共法律服务项目绩效目标表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t>7.平安天津项目绩效目标表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t>8.普法依法治理项目绩效目标表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t>9.深入推进公共法律服务便民化-2025中央绩效目标表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t>10.深入推进公共法律服务便民化支持经费绩效目标表</w:t>
      </w:r>
      <w:r>
        <w:fldChar w:fldCharType="end"/>
      </w:r>
    </w:p>
    <w:p>
      <w:pPr>
        <w:pStyle w:val="17"/>
        <w:tabs>
          <w:tab w:val="right" w:leader="dot" w:pos="9282"/>
        </w:tabs>
      </w:pPr>
      <w:r>
        <w:fldChar w:fldCharType="begin"/>
      </w:r>
      <w:r>
        <w:instrText xml:space="preserve"> HYPERLINK \l "_Toc_4_4_0000000014" </w:instrText>
      </w:r>
      <w:r>
        <w:fldChar w:fldCharType="separate"/>
      </w:r>
      <w:r>
        <w:t>11.天津市全面依法治市工作绩效目标表</w:t>
      </w:r>
      <w:r>
        <w:fldChar w:fldCharType="end"/>
      </w:r>
    </w:p>
    <w:p>
      <w:pPr>
        <w:pStyle w:val="17"/>
        <w:tabs>
          <w:tab w:val="right" w:leader="dot" w:pos="9282"/>
        </w:tabs>
      </w:pPr>
      <w:r>
        <w:fldChar w:fldCharType="begin"/>
      </w:r>
      <w:r>
        <w:instrText xml:space="preserve"> HYPERLINK \l "_Toc_4_4_0000000015" </w:instrText>
      </w:r>
      <w:r>
        <w:fldChar w:fldCharType="separate"/>
      </w:r>
      <w:r>
        <w:t>12.天津市司法局债券利息-2025债券利息绩效目标表</w:t>
      </w:r>
      <w:r>
        <w:fldChar w:fldCharType="end"/>
      </w:r>
    </w:p>
    <w:p>
      <w:pPr>
        <w:pStyle w:val="17"/>
        <w:tabs>
          <w:tab w:val="right" w:leader="dot" w:pos="9282"/>
        </w:tabs>
      </w:pPr>
      <w:r>
        <w:fldChar w:fldCharType="begin"/>
      </w:r>
      <w:r>
        <w:instrText xml:space="preserve"> HYPERLINK \l "_Toc_4_4_0000000016" </w:instrText>
      </w:r>
      <w:r>
        <w:fldChar w:fldCharType="separate"/>
      </w:r>
      <w:r>
        <w:t>13.医疗纠纷人民调解-2025中央绩效目标表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1.数字化运维项目绩效目标表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数字化运维项目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292.00</w:t>
            </w:r>
          </w:p>
        </w:tc>
        <w:tc>
          <w:tcPr>
            <w:tcW w:w="1587" w:type="dxa"/>
            <w:vAlign w:val="center"/>
          </w:tcPr>
          <w:p>
            <w:pPr>
              <w:pStyle w:val="13"/>
            </w:pPr>
            <w:r>
              <w:t>其中：财政    资金</w:t>
            </w:r>
          </w:p>
        </w:tc>
        <w:tc>
          <w:tcPr>
            <w:tcW w:w="1843" w:type="dxa"/>
            <w:vAlign w:val="center"/>
          </w:tcPr>
          <w:p>
            <w:pPr>
              <w:pStyle w:val="12"/>
            </w:pPr>
            <w:r>
              <w:t>292.00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数字化运维项目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1.保障我系统数字化软件、硬件、基础网络正常运行，保障网络安全。  </w:t>
            </w:r>
          </w:p>
          <w:p>
            <w:pPr>
              <w:pStyle w:val="12"/>
            </w:pPr>
            <w:r>
              <w:t>2.保障我局协同办公平台、天津市公共法律服务一体化平台为用户发送办文、办事通知短信。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软件运维系统个数</w:t>
            </w:r>
          </w:p>
        </w:tc>
        <w:tc>
          <w:tcPr>
            <w:tcW w:w="3430" w:type="dxa"/>
            <w:vAlign w:val="center"/>
          </w:tcPr>
          <w:p>
            <w:pPr>
              <w:pStyle w:val="12"/>
            </w:pPr>
            <w:r>
              <w:t>软件运维系统个数</w:t>
            </w:r>
          </w:p>
        </w:tc>
        <w:tc>
          <w:tcPr>
            <w:tcW w:w="2551" w:type="dxa"/>
            <w:vAlign w:val="center"/>
          </w:tcPr>
          <w:p>
            <w:pPr>
              <w:pStyle w:val="1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硬件运维系统个数</w:t>
            </w:r>
          </w:p>
        </w:tc>
        <w:tc>
          <w:tcPr>
            <w:tcW w:w="3430" w:type="dxa"/>
            <w:vAlign w:val="center"/>
          </w:tcPr>
          <w:p>
            <w:pPr>
              <w:pStyle w:val="12"/>
            </w:pPr>
            <w:r>
              <w:t>硬件运维系统个数</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租赁网络数量</w:t>
            </w:r>
          </w:p>
        </w:tc>
        <w:tc>
          <w:tcPr>
            <w:tcW w:w="3430" w:type="dxa"/>
            <w:vAlign w:val="center"/>
          </w:tcPr>
          <w:p>
            <w:pPr>
              <w:pStyle w:val="12"/>
            </w:pPr>
            <w:r>
              <w:t>租赁网络数量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网络安全漏洞扫描次数</w:t>
            </w:r>
          </w:p>
        </w:tc>
        <w:tc>
          <w:tcPr>
            <w:tcW w:w="3430" w:type="dxa"/>
            <w:vAlign w:val="center"/>
          </w:tcPr>
          <w:p>
            <w:pPr>
              <w:pStyle w:val="12"/>
            </w:pPr>
            <w:r>
              <w:t>每年网络安全漏洞扫描次数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网络安全渗透测试次数</w:t>
            </w:r>
          </w:p>
        </w:tc>
        <w:tc>
          <w:tcPr>
            <w:tcW w:w="3430" w:type="dxa"/>
            <w:vAlign w:val="center"/>
          </w:tcPr>
          <w:p>
            <w:pPr>
              <w:pStyle w:val="12"/>
            </w:pPr>
            <w:r>
              <w:t>每年网络安全渗透测试次数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网络安全等保测评系统数</w:t>
            </w:r>
          </w:p>
        </w:tc>
        <w:tc>
          <w:tcPr>
            <w:tcW w:w="3430" w:type="dxa"/>
            <w:vAlign w:val="center"/>
          </w:tcPr>
          <w:p>
            <w:pPr>
              <w:pStyle w:val="12"/>
            </w:pPr>
            <w:r>
              <w:t>网络安全等保测评系统数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购买短信条数</w:t>
            </w:r>
          </w:p>
        </w:tc>
        <w:tc>
          <w:tcPr>
            <w:tcW w:w="3430" w:type="dxa"/>
            <w:vAlign w:val="center"/>
          </w:tcPr>
          <w:p>
            <w:pPr>
              <w:pStyle w:val="12"/>
            </w:pPr>
            <w:r>
              <w:t>购买短信条数</w:t>
            </w:r>
          </w:p>
        </w:tc>
        <w:tc>
          <w:tcPr>
            <w:tcW w:w="2551" w:type="dxa"/>
            <w:vAlign w:val="center"/>
          </w:tcPr>
          <w:p>
            <w:pPr>
              <w:pStyle w:val="12"/>
            </w:pPr>
            <w:r>
              <w:t>≥40万条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运维时间</w:t>
            </w:r>
          </w:p>
        </w:tc>
        <w:tc>
          <w:tcPr>
            <w:tcW w:w="3430" w:type="dxa"/>
            <w:vAlign w:val="center"/>
          </w:tcPr>
          <w:p>
            <w:pPr>
              <w:pStyle w:val="12"/>
            </w:pPr>
            <w:r>
              <w:t>运维时间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3430" w:type="dxa"/>
            <w:vAlign w:val="center"/>
          </w:tcPr>
          <w:p>
            <w:pPr>
              <w:pStyle w:val="12"/>
            </w:pPr>
            <w:r>
              <w:t>经费支出</w:t>
            </w:r>
          </w:p>
        </w:tc>
        <w:tc>
          <w:tcPr>
            <w:tcW w:w="2551" w:type="dxa"/>
            <w:vAlign w:val="center"/>
          </w:tcPr>
          <w:p>
            <w:pPr>
              <w:pStyle w:val="12"/>
            </w:pPr>
            <w:r>
              <w:t>≤292万元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系统正常运行和网络安全</w:t>
            </w:r>
          </w:p>
        </w:tc>
        <w:tc>
          <w:tcPr>
            <w:tcW w:w="3430" w:type="dxa"/>
            <w:vAlign w:val="center"/>
          </w:tcPr>
          <w:p>
            <w:pPr>
              <w:pStyle w:val="12"/>
            </w:pPr>
            <w:r>
              <w:t>系统正常运行和网络安全</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2.司法保障与管理业务经费绩效目标表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司法保障与管理业务经费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426.10</w:t>
            </w:r>
          </w:p>
        </w:tc>
        <w:tc>
          <w:tcPr>
            <w:tcW w:w="1587" w:type="dxa"/>
            <w:vAlign w:val="center"/>
          </w:tcPr>
          <w:p>
            <w:pPr>
              <w:pStyle w:val="13"/>
            </w:pPr>
            <w:r>
              <w:t>其中：财政    资金</w:t>
            </w:r>
          </w:p>
        </w:tc>
        <w:tc>
          <w:tcPr>
            <w:tcW w:w="1843" w:type="dxa"/>
            <w:vAlign w:val="center"/>
          </w:tcPr>
          <w:p>
            <w:pPr>
              <w:pStyle w:val="12"/>
            </w:pPr>
            <w:r>
              <w:t>426.10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司法保障与管理业务经费。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1.保障司法行政机关业务正常开展。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支持司法行政机关数量</w:t>
            </w:r>
          </w:p>
        </w:tc>
        <w:tc>
          <w:tcPr>
            <w:tcW w:w="3430" w:type="dxa"/>
            <w:vAlign w:val="center"/>
          </w:tcPr>
          <w:p>
            <w:pPr>
              <w:pStyle w:val="12"/>
            </w:pPr>
            <w:r>
              <w:t>支持司法行政机关数量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购买社会服务项目数量 </w:t>
            </w:r>
          </w:p>
        </w:tc>
        <w:tc>
          <w:tcPr>
            <w:tcW w:w="3430" w:type="dxa"/>
            <w:vAlign w:val="center"/>
          </w:tcPr>
          <w:p>
            <w:pPr>
              <w:pStyle w:val="12"/>
            </w:pPr>
            <w:r>
              <w:t xml:space="preserve">购买社会服务项目数量 </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项目服务时间</w:t>
            </w:r>
          </w:p>
        </w:tc>
        <w:tc>
          <w:tcPr>
            <w:tcW w:w="3430" w:type="dxa"/>
            <w:vAlign w:val="center"/>
          </w:tcPr>
          <w:p>
            <w:pPr>
              <w:pStyle w:val="12"/>
            </w:pPr>
            <w:r>
              <w:t>项目服务时间</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司法保障与管理业务经费</w:t>
            </w:r>
          </w:p>
        </w:tc>
        <w:tc>
          <w:tcPr>
            <w:tcW w:w="3430" w:type="dxa"/>
            <w:vAlign w:val="center"/>
          </w:tcPr>
          <w:p>
            <w:pPr>
              <w:pStyle w:val="12"/>
            </w:pPr>
            <w:r>
              <w:t>司法保障与管理业务经费</w:t>
            </w:r>
          </w:p>
        </w:tc>
        <w:tc>
          <w:tcPr>
            <w:tcW w:w="2551" w:type="dxa"/>
            <w:vAlign w:val="center"/>
          </w:tcPr>
          <w:p>
            <w:pPr>
              <w:pStyle w:val="12"/>
            </w:pPr>
            <w:r>
              <w:t>≤426.1万元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司法行政业务</w:t>
            </w:r>
          </w:p>
        </w:tc>
        <w:tc>
          <w:tcPr>
            <w:tcW w:w="3430" w:type="dxa"/>
            <w:vAlign w:val="center"/>
          </w:tcPr>
          <w:p>
            <w:pPr>
              <w:pStyle w:val="12"/>
            </w:pPr>
            <w:r>
              <w:t>司法行政业务</w:t>
            </w:r>
          </w:p>
        </w:tc>
        <w:tc>
          <w:tcPr>
            <w:tcW w:w="2551" w:type="dxa"/>
            <w:vAlign w:val="center"/>
          </w:tcPr>
          <w:p>
            <w:pPr>
              <w:pStyle w:val="12"/>
            </w:pPr>
            <w:r>
              <w:t>保障正常开展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3.调解工作项目绩效目标表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调解工作项目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125.00</w:t>
            </w:r>
          </w:p>
        </w:tc>
        <w:tc>
          <w:tcPr>
            <w:tcW w:w="1587" w:type="dxa"/>
            <w:vAlign w:val="center"/>
          </w:tcPr>
          <w:p>
            <w:pPr>
              <w:pStyle w:val="13"/>
            </w:pPr>
            <w:r>
              <w:t>其中：财政    资金</w:t>
            </w:r>
          </w:p>
        </w:tc>
        <w:tc>
          <w:tcPr>
            <w:tcW w:w="1843" w:type="dxa"/>
            <w:vAlign w:val="center"/>
          </w:tcPr>
          <w:p>
            <w:pPr>
              <w:pStyle w:val="12"/>
            </w:pPr>
            <w:r>
              <w:t>125.00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调解工作经费。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接待受理由市信访办导入的信访事项，运用法治思维和法治方式正确疏导、化解信访事项，以提高矛盾纠纷化解率为基本内容，以增强“访调对接”工作效率为基本前提，最大限度整合化解矛盾纠纷社会资源，最大限度依法维护当事人合法权益，最大限度消除社会不稳定因素。突破就事论事观念化壁垒，将案件调解、咨询服务、心理抚慰、情绪疏导相融合。确保信访事项人民调解成功率及回访满意率达90%以上。</w:t>
            </w:r>
          </w:p>
          <w:p>
            <w:pPr>
              <w:pStyle w:val="12"/>
            </w:pPr>
            <w:r>
              <w:t>2.提升人民调解员工作能力，提升工作质效，扩大人民调解工作宣传范围。</w:t>
            </w:r>
          </w:p>
          <w:p>
            <w:pPr>
              <w:pStyle w:val="12"/>
            </w:pPr>
            <w:r>
              <w:t>3.承担本市医疗纠纷调解，有效化解医患矛盾，防止纠纷激化，维护社会稳定。通过调解工作宣传法律、法规、规章和医学知识，引导医患双方当事人依法维护自身合法权益。完成年度医疗纠纷调解案件数量、调解成功率和评价满意度指标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医疗纠纷人民调解案件数量</w:t>
            </w:r>
          </w:p>
        </w:tc>
        <w:tc>
          <w:tcPr>
            <w:tcW w:w="3430" w:type="dxa"/>
            <w:vAlign w:val="center"/>
          </w:tcPr>
          <w:p>
            <w:pPr>
              <w:pStyle w:val="12"/>
            </w:pPr>
            <w:r>
              <w:t>医疗纠纷人民调解案件数量</w:t>
            </w:r>
          </w:p>
        </w:tc>
        <w:tc>
          <w:tcPr>
            <w:tcW w:w="2551" w:type="dxa"/>
            <w:vAlign w:val="center"/>
          </w:tcPr>
          <w:p>
            <w:pPr>
              <w:pStyle w:val="12"/>
            </w:pPr>
            <w:r>
              <w:t>≥700件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信访事项人民调解达成书面调解协议</w:t>
            </w:r>
          </w:p>
        </w:tc>
        <w:tc>
          <w:tcPr>
            <w:tcW w:w="3430" w:type="dxa"/>
            <w:vAlign w:val="center"/>
          </w:tcPr>
          <w:p>
            <w:pPr>
              <w:pStyle w:val="12"/>
            </w:pPr>
            <w:r>
              <w:t>信访事项人民调解达成书面调解协议</w:t>
            </w:r>
          </w:p>
        </w:tc>
        <w:tc>
          <w:tcPr>
            <w:tcW w:w="2551" w:type="dxa"/>
            <w:vAlign w:val="center"/>
          </w:tcPr>
          <w:p>
            <w:pPr>
              <w:pStyle w:val="12"/>
            </w:pPr>
            <w:r>
              <w:t>≥40份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信访事项人民调解息诉罢访人次</w:t>
            </w:r>
          </w:p>
        </w:tc>
        <w:tc>
          <w:tcPr>
            <w:tcW w:w="3430" w:type="dxa"/>
            <w:vAlign w:val="center"/>
          </w:tcPr>
          <w:p>
            <w:pPr>
              <w:pStyle w:val="12"/>
            </w:pPr>
            <w:r>
              <w:t>信访事项人民调解息诉罢访人次</w:t>
            </w:r>
          </w:p>
        </w:tc>
        <w:tc>
          <w:tcPr>
            <w:tcW w:w="2551" w:type="dxa"/>
            <w:vAlign w:val="center"/>
          </w:tcPr>
          <w:p>
            <w:pPr>
              <w:pStyle w:val="12"/>
            </w:pPr>
            <w:r>
              <w:t>≥180人次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宣传片</w:t>
            </w:r>
          </w:p>
        </w:tc>
        <w:tc>
          <w:tcPr>
            <w:tcW w:w="3430" w:type="dxa"/>
            <w:vAlign w:val="center"/>
          </w:tcPr>
          <w:p>
            <w:pPr>
              <w:pStyle w:val="12"/>
            </w:pPr>
            <w:r>
              <w:t>宣传片</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医疗纠纷人民调解成功率</w:t>
            </w:r>
          </w:p>
        </w:tc>
        <w:tc>
          <w:tcPr>
            <w:tcW w:w="3430" w:type="dxa"/>
            <w:vAlign w:val="center"/>
          </w:tcPr>
          <w:p>
            <w:pPr>
              <w:pStyle w:val="12"/>
            </w:pPr>
            <w:r>
              <w:t>医疗纠纷人民调解成功率</w:t>
            </w:r>
          </w:p>
        </w:tc>
        <w:tc>
          <w:tcPr>
            <w:tcW w:w="2551" w:type="dxa"/>
            <w:vAlign w:val="center"/>
          </w:tcPr>
          <w:p>
            <w:pPr>
              <w:pStyle w:val="12"/>
            </w:pPr>
            <w: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信访事项人民调解成功率</w:t>
            </w:r>
          </w:p>
        </w:tc>
        <w:tc>
          <w:tcPr>
            <w:tcW w:w="3430" w:type="dxa"/>
            <w:vAlign w:val="center"/>
          </w:tcPr>
          <w:p>
            <w:pPr>
              <w:pStyle w:val="12"/>
            </w:pPr>
            <w:r>
              <w:t>信访事项人民调解成功率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项目资金支付率</w:t>
            </w:r>
          </w:p>
        </w:tc>
        <w:tc>
          <w:tcPr>
            <w:tcW w:w="3430" w:type="dxa"/>
            <w:vAlign w:val="center"/>
          </w:tcPr>
          <w:p>
            <w:pPr>
              <w:pStyle w:val="12"/>
            </w:pPr>
            <w:r>
              <w:t>项目资金支付率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医疗纠纷人民调解案件受理时间</w:t>
            </w:r>
          </w:p>
        </w:tc>
        <w:tc>
          <w:tcPr>
            <w:tcW w:w="3430" w:type="dxa"/>
            <w:vAlign w:val="center"/>
          </w:tcPr>
          <w:p>
            <w:pPr>
              <w:pStyle w:val="12"/>
            </w:pPr>
            <w:r>
              <w:t>医疗纠纷人民调解案件受理时间</w:t>
            </w:r>
          </w:p>
        </w:tc>
        <w:tc>
          <w:tcPr>
            <w:tcW w:w="2551" w:type="dxa"/>
            <w:vAlign w:val="center"/>
          </w:tcPr>
          <w:p>
            <w:pPr>
              <w:pStyle w:val="12"/>
            </w:pPr>
            <w:r>
              <w:t>自收齐受理材料之日起3个工作日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回访时限</w:t>
            </w:r>
          </w:p>
        </w:tc>
        <w:tc>
          <w:tcPr>
            <w:tcW w:w="3430" w:type="dxa"/>
            <w:vAlign w:val="center"/>
          </w:tcPr>
          <w:p>
            <w:pPr>
              <w:pStyle w:val="12"/>
            </w:pPr>
            <w:r>
              <w:t>回访时限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医疗纠纷人民调解经费支出</w:t>
            </w:r>
          </w:p>
        </w:tc>
        <w:tc>
          <w:tcPr>
            <w:tcW w:w="3430" w:type="dxa"/>
            <w:vAlign w:val="center"/>
          </w:tcPr>
          <w:p>
            <w:pPr>
              <w:pStyle w:val="12"/>
            </w:pPr>
            <w:r>
              <w:t>医疗纠纷人民调解经费支出</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信访事项人民调解经费支出</w:t>
            </w:r>
          </w:p>
        </w:tc>
        <w:tc>
          <w:tcPr>
            <w:tcW w:w="3430" w:type="dxa"/>
            <w:vAlign w:val="center"/>
          </w:tcPr>
          <w:p>
            <w:pPr>
              <w:pStyle w:val="12"/>
            </w:pPr>
            <w:r>
              <w:t>信访事项人民调解经费支出</w:t>
            </w:r>
          </w:p>
        </w:tc>
        <w:tc>
          <w:tcPr>
            <w:tcW w:w="2551" w:type="dxa"/>
            <w:vAlign w:val="center"/>
          </w:tcPr>
          <w:p>
            <w:pPr>
              <w:pStyle w:val="12"/>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人民调解宣传经费支出</w:t>
            </w:r>
          </w:p>
        </w:tc>
        <w:tc>
          <w:tcPr>
            <w:tcW w:w="3430" w:type="dxa"/>
            <w:vAlign w:val="center"/>
          </w:tcPr>
          <w:p>
            <w:pPr>
              <w:pStyle w:val="12"/>
            </w:pPr>
            <w:r>
              <w:t>人民调解宣传经费支出</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前端化解纠纷，源头解决医患矛盾</w:t>
            </w:r>
          </w:p>
        </w:tc>
        <w:tc>
          <w:tcPr>
            <w:tcW w:w="3430" w:type="dxa"/>
            <w:vAlign w:val="center"/>
          </w:tcPr>
          <w:p>
            <w:pPr>
              <w:pStyle w:val="12"/>
            </w:pPr>
            <w:r>
              <w:t>前端化解纠纷，源头解决医患矛盾</w:t>
            </w:r>
          </w:p>
        </w:tc>
        <w:tc>
          <w:tcPr>
            <w:tcW w:w="2551"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安抚当事人对抗情绪，引导当事人通过合法途径解决诉求</w:t>
            </w:r>
          </w:p>
        </w:tc>
        <w:tc>
          <w:tcPr>
            <w:tcW w:w="3430" w:type="dxa"/>
            <w:vAlign w:val="center"/>
          </w:tcPr>
          <w:p>
            <w:pPr>
              <w:pStyle w:val="12"/>
            </w:pPr>
            <w:r>
              <w:t>安抚当事人对抗情绪，引导当事人通过合法途径解决诉求</w:t>
            </w:r>
          </w:p>
        </w:tc>
        <w:tc>
          <w:tcPr>
            <w:tcW w:w="2551"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当事人满意度</w:t>
            </w:r>
          </w:p>
        </w:tc>
        <w:tc>
          <w:tcPr>
            <w:tcW w:w="3430" w:type="dxa"/>
            <w:vAlign w:val="center"/>
          </w:tcPr>
          <w:p>
            <w:pPr>
              <w:pStyle w:val="12"/>
            </w:pPr>
            <w:r>
              <w:t>当事人满意度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回访调解成功案件当事人满意度</w:t>
            </w:r>
          </w:p>
        </w:tc>
        <w:tc>
          <w:tcPr>
            <w:tcW w:w="3430" w:type="dxa"/>
            <w:vAlign w:val="center"/>
          </w:tcPr>
          <w:p>
            <w:pPr>
              <w:pStyle w:val="12"/>
            </w:pPr>
            <w:r>
              <w:t>回访调解成功案件当事人满意度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4.法律职业资格考试项目绩效目标表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法律职业资格考试项目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340.00</w:t>
            </w:r>
          </w:p>
        </w:tc>
        <w:tc>
          <w:tcPr>
            <w:tcW w:w="1587" w:type="dxa"/>
            <w:vAlign w:val="center"/>
          </w:tcPr>
          <w:p>
            <w:pPr>
              <w:pStyle w:val="13"/>
            </w:pPr>
            <w:r>
              <w:t>其中：财政    资金</w:t>
            </w:r>
          </w:p>
        </w:tc>
        <w:tc>
          <w:tcPr>
            <w:tcW w:w="1843" w:type="dxa"/>
            <w:vAlign w:val="center"/>
          </w:tcPr>
          <w:p>
            <w:pPr>
              <w:pStyle w:val="12"/>
            </w:pPr>
            <w:r>
              <w:t>340.00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法律职业资格考试经费。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国家统一法律职业资格考试实施办法》《法律职业资格管理办法》以及司法部工作要点、部署要求，组织实施天津考区2025年度国家统一法律职业资格考试工作。研究制定天津考区年度国家统一法律职业资格考试工作组织实施方案，充分发挥联席会议协调联动作用，统筹做好机位落实、保网保电等各项考试保障工作，确保各项工作要求落实落地。坚持以人为本，为群众办实事，重点做好公告发布、考试报名、组织考试、分数核查等各项服务考生的工作，创新方式方法，抓好正面宣传，提升考试舆情应对和处置能力，提高考试工作的社会满意度，确保考试安全平稳顺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司法部关于考务业务培训及统一审核制证返卷培训</w:t>
            </w:r>
          </w:p>
        </w:tc>
        <w:tc>
          <w:tcPr>
            <w:tcW w:w="3430" w:type="dxa"/>
            <w:vAlign w:val="center"/>
          </w:tcPr>
          <w:p>
            <w:pPr>
              <w:pStyle w:val="12"/>
            </w:pPr>
            <w:r>
              <w:t>司法部关于考务业务培训及统一审核制证返卷培训</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考务工作证件及考务用品</w:t>
            </w:r>
          </w:p>
        </w:tc>
        <w:tc>
          <w:tcPr>
            <w:tcW w:w="3430" w:type="dxa"/>
            <w:vAlign w:val="center"/>
          </w:tcPr>
          <w:p>
            <w:pPr>
              <w:pStyle w:val="12"/>
            </w:pPr>
            <w:r>
              <w:t>考务工作证件及考务用品</w:t>
            </w:r>
          </w:p>
        </w:tc>
        <w:tc>
          <w:tcPr>
            <w:tcW w:w="2551" w:type="dxa"/>
            <w:vAlign w:val="center"/>
          </w:tcPr>
          <w:p>
            <w:pPr>
              <w:pStyle w:val="12"/>
            </w:pPr>
            <w:r>
              <w:t>&gt;800套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考务手册</w:t>
            </w:r>
          </w:p>
        </w:tc>
        <w:tc>
          <w:tcPr>
            <w:tcW w:w="3430" w:type="dxa"/>
            <w:vAlign w:val="center"/>
          </w:tcPr>
          <w:p>
            <w:pPr>
              <w:pStyle w:val="12"/>
            </w:pPr>
            <w:r>
              <w:t>考务手册</w:t>
            </w:r>
          </w:p>
        </w:tc>
        <w:tc>
          <w:tcPr>
            <w:tcW w:w="2551" w:type="dxa"/>
            <w:vAlign w:val="center"/>
          </w:tcPr>
          <w:p>
            <w:pPr>
              <w:pStyle w:val="12"/>
            </w:pPr>
            <w:r>
              <w:t>&gt;500套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法考通过人员照片冲洗及档案材料留存</w:t>
            </w:r>
          </w:p>
        </w:tc>
        <w:tc>
          <w:tcPr>
            <w:tcW w:w="3430" w:type="dxa"/>
            <w:vAlign w:val="center"/>
          </w:tcPr>
          <w:p>
            <w:pPr>
              <w:pStyle w:val="12"/>
            </w:pPr>
            <w:r>
              <w:t>法考通过人员照片冲洗及档案材料留存</w:t>
            </w:r>
          </w:p>
        </w:tc>
        <w:tc>
          <w:tcPr>
            <w:tcW w:w="2551" w:type="dxa"/>
            <w:vAlign w:val="center"/>
          </w:tcPr>
          <w:p>
            <w:pPr>
              <w:pStyle w:val="12"/>
            </w:pPr>
            <w:r>
              <w:t>&gt;1500套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考务工作证件、用品、手册等使用率</w:t>
            </w:r>
          </w:p>
        </w:tc>
        <w:tc>
          <w:tcPr>
            <w:tcW w:w="3430" w:type="dxa"/>
            <w:vAlign w:val="center"/>
          </w:tcPr>
          <w:p>
            <w:pPr>
              <w:pStyle w:val="12"/>
            </w:pPr>
            <w:r>
              <w:t>考务工作证件、用品、手册等使用率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完成2025年法考组织实施工作</w:t>
            </w:r>
          </w:p>
        </w:tc>
        <w:tc>
          <w:tcPr>
            <w:tcW w:w="3430" w:type="dxa"/>
            <w:vAlign w:val="center"/>
          </w:tcPr>
          <w:p>
            <w:pPr>
              <w:pStyle w:val="12"/>
            </w:pPr>
            <w:r>
              <w:t>完成2025年法考组织实施工作</w:t>
            </w:r>
          </w:p>
        </w:tc>
        <w:tc>
          <w:tcPr>
            <w:tcW w:w="2551" w:type="dxa"/>
            <w:vAlign w:val="center"/>
          </w:tcPr>
          <w:p>
            <w:pPr>
              <w:pStyle w:val="12"/>
            </w:pPr>
            <w:r>
              <w:t>2025年10月底前完成（以当年司法部公告及相关政策为准）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完成2025年职业资格管理工作 </w:t>
            </w:r>
          </w:p>
        </w:tc>
        <w:tc>
          <w:tcPr>
            <w:tcW w:w="3430" w:type="dxa"/>
            <w:vAlign w:val="center"/>
          </w:tcPr>
          <w:p>
            <w:pPr>
              <w:pStyle w:val="12"/>
            </w:pPr>
            <w:r>
              <w:t xml:space="preserve">完成2025年职业资格管理工作 </w:t>
            </w:r>
          </w:p>
        </w:tc>
        <w:tc>
          <w:tcPr>
            <w:tcW w:w="2551" w:type="dxa"/>
            <w:vAlign w:val="center"/>
          </w:tcPr>
          <w:p>
            <w:pPr>
              <w:pStyle w:val="12"/>
            </w:pPr>
            <w:r>
              <w:t>2025年12月底前完成（以当年司法部公告及相关政策为准）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法律职业资格考试经费</w:t>
            </w:r>
          </w:p>
        </w:tc>
        <w:tc>
          <w:tcPr>
            <w:tcW w:w="3430" w:type="dxa"/>
            <w:vAlign w:val="center"/>
          </w:tcPr>
          <w:p>
            <w:pPr>
              <w:pStyle w:val="12"/>
            </w:pPr>
            <w:r>
              <w:t>法律职业资格考试经费</w:t>
            </w:r>
          </w:p>
        </w:tc>
        <w:tc>
          <w:tcPr>
            <w:tcW w:w="2551" w:type="dxa"/>
            <w:vAlign w:val="center"/>
          </w:tcPr>
          <w:p>
            <w:pPr>
              <w:pStyle w:val="12"/>
            </w:pPr>
            <w:r>
              <w:t>≤340万元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维护考试安全平稳顺利</w:t>
            </w:r>
          </w:p>
        </w:tc>
        <w:tc>
          <w:tcPr>
            <w:tcW w:w="3430" w:type="dxa"/>
            <w:vAlign w:val="center"/>
          </w:tcPr>
          <w:p>
            <w:pPr>
              <w:pStyle w:val="12"/>
            </w:pPr>
            <w:r>
              <w:t>维护考试安全平稳顺利</w:t>
            </w:r>
          </w:p>
        </w:tc>
        <w:tc>
          <w:tcPr>
            <w:tcW w:w="2551" w:type="dxa"/>
            <w:vAlign w:val="center"/>
          </w:tcPr>
          <w:p>
            <w:pPr>
              <w:pStyle w:val="12"/>
            </w:pPr>
            <w:r>
              <w:t>保障考试顺利进行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考生投诉数</w:t>
            </w:r>
          </w:p>
        </w:tc>
        <w:tc>
          <w:tcPr>
            <w:tcW w:w="3430" w:type="dxa"/>
            <w:vAlign w:val="center"/>
          </w:tcPr>
          <w:p>
            <w:pPr>
              <w:pStyle w:val="12"/>
            </w:pPr>
            <w:r>
              <w:t>考生投诉数</w:t>
            </w:r>
          </w:p>
        </w:tc>
        <w:tc>
          <w:tcPr>
            <w:tcW w:w="2551" w:type="dxa"/>
            <w:vAlign w:val="center"/>
          </w:tcPr>
          <w:p>
            <w:pPr>
              <w:pStyle w:val="12"/>
            </w:pPr>
            <w:r>
              <w:t>≤5次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5.法治建设项目绩效目标表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法治建设项目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63.30</w:t>
            </w:r>
          </w:p>
        </w:tc>
        <w:tc>
          <w:tcPr>
            <w:tcW w:w="1587" w:type="dxa"/>
            <w:vAlign w:val="center"/>
          </w:tcPr>
          <w:p>
            <w:pPr>
              <w:pStyle w:val="13"/>
            </w:pPr>
            <w:r>
              <w:t>其中：财政    资金</w:t>
            </w:r>
          </w:p>
        </w:tc>
        <w:tc>
          <w:tcPr>
            <w:tcW w:w="1843" w:type="dxa"/>
            <w:vAlign w:val="center"/>
          </w:tcPr>
          <w:p>
            <w:pPr>
              <w:pStyle w:val="12"/>
            </w:pPr>
            <w:r>
              <w:t>63.30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法治建设经费。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1.1.完成实际新增（补证）执法人员制证工作。</w:t>
            </w:r>
          </w:p>
          <w:p>
            <w:pPr>
              <w:pStyle w:val="12"/>
            </w:pPr>
            <w:r>
              <w:t>2.为重大行政决策、重大行政行为提供法律意见；参与重要立法项目和重大行政规范性文件的研究、起草、审核和论证工作，提高依法行政能力水平，为法治天津建设发挥积极作用。</w:t>
            </w:r>
          </w:p>
          <w:p>
            <w:pPr>
              <w:pStyle w:val="12"/>
            </w:pPr>
            <w:r>
              <w:t>3.建立立法联系点，充分发挥立法联系点发扬民主、汇聚民智的重要功能，为以良法促发展、保善治，奋力建设法治建设先行区奠定坚实基础。</w:t>
            </w:r>
          </w:p>
          <w:p>
            <w:pPr>
              <w:pStyle w:val="12"/>
            </w:pPr>
            <w:r>
              <w:t>4.及时更新内网系统国家法规库，购买北大法宝法律法规库账户，检索使用法律法规库资源，进一步提升工作质效。举办法治建设培训班，进一步严格规范公正文明执法。</w:t>
            </w:r>
          </w:p>
          <w:p>
            <w:pPr>
              <w:pStyle w:val="12"/>
            </w:pPr>
            <w:r>
              <w:t>5.推进行政复议规范化专业化建设，做好行政复议工作人员证件管理。围绕新修订的《行政复议法》开展宣传教育，进一步增强广大人民群众依法维护自身权益的意识，持续推进法治政府建设，充分发挥行政复议化解行政争议的主渠道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证件数量</w:t>
            </w:r>
          </w:p>
        </w:tc>
        <w:tc>
          <w:tcPr>
            <w:tcW w:w="3430" w:type="dxa"/>
            <w:vAlign w:val="center"/>
          </w:tcPr>
          <w:p>
            <w:pPr>
              <w:pStyle w:val="12"/>
            </w:pPr>
            <w:r>
              <w:t>证件数量</w:t>
            </w:r>
          </w:p>
        </w:tc>
        <w:tc>
          <w:tcPr>
            <w:tcW w:w="2551" w:type="dxa"/>
            <w:vAlign w:val="center"/>
          </w:tcPr>
          <w:p>
            <w:pPr>
              <w:pStyle w:val="12"/>
            </w:pPr>
            <w:r>
              <w:t>≥1500个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为重大行政决策、重大行政行为提供法律意见；参与重要立法项目和重大行政规范性文件的审核和论证工作</w:t>
            </w:r>
          </w:p>
        </w:tc>
        <w:tc>
          <w:tcPr>
            <w:tcW w:w="3430" w:type="dxa"/>
            <w:vAlign w:val="center"/>
          </w:tcPr>
          <w:p>
            <w:pPr>
              <w:pStyle w:val="12"/>
            </w:pPr>
            <w:r>
              <w:t>为重大行政决策、重大行政行为提供法律意见；参与重要立法项目和重大行政规范性文件的审核和论证工作</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参与合作项目的洽谈，协助起草、修改、审核重要的法律文书或者以政府为一方当事人的重大合同</w:t>
            </w:r>
          </w:p>
        </w:tc>
        <w:tc>
          <w:tcPr>
            <w:tcW w:w="3430" w:type="dxa"/>
            <w:vAlign w:val="center"/>
          </w:tcPr>
          <w:p>
            <w:pPr>
              <w:pStyle w:val="12"/>
            </w:pPr>
            <w:r>
              <w:t>参与合作项目的洽谈，协助起草、修改、审核重要的法律文书或者以政府为一方当事人的重大合同</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建立立法联系点数量</w:t>
            </w:r>
          </w:p>
        </w:tc>
        <w:tc>
          <w:tcPr>
            <w:tcW w:w="3430" w:type="dxa"/>
            <w:vAlign w:val="center"/>
          </w:tcPr>
          <w:p>
            <w:pPr>
              <w:pStyle w:val="12"/>
            </w:pPr>
            <w:r>
              <w:t>建立立法联系点数量</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更新频次</w:t>
            </w:r>
          </w:p>
        </w:tc>
        <w:tc>
          <w:tcPr>
            <w:tcW w:w="3430" w:type="dxa"/>
            <w:vAlign w:val="center"/>
          </w:tcPr>
          <w:p>
            <w:pPr>
              <w:pStyle w:val="12"/>
            </w:pPr>
            <w:r>
              <w:t>更新频次</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购买账号数量</w:t>
            </w:r>
          </w:p>
        </w:tc>
        <w:tc>
          <w:tcPr>
            <w:tcW w:w="3430" w:type="dxa"/>
            <w:vAlign w:val="center"/>
          </w:tcPr>
          <w:p>
            <w:pPr>
              <w:pStyle w:val="12"/>
            </w:pPr>
            <w:r>
              <w:t>购买账号数量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举办法治相关培训次数</w:t>
            </w:r>
          </w:p>
        </w:tc>
        <w:tc>
          <w:tcPr>
            <w:tcW w:w="3430" w:type="dxa"/>
            <w:vAlign w:val="center"/>
          </w:tcPr>
          <w:p>
            <w:pPr>
              <w:pStyle w:val="12"/>
            </w:pPr>
            <w:r>
              <w:t>举办法治相关培训次数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执法证质量</w:t>
            </w:r>
          </w:p>
        </w:tc>
        <w:tc>
          <w:tcPr>
            <w:tcW w:w="3430" w:type="dxa"/>
            <w:vAlign w:val="center"/>
          </w:tcPr>
          <w:p>
            <w:pPr>
              <w:pStyle w:val="12"/>
            </w:pPr>
            <w:r>
              <w:t>执法证质量</w:t>
            </w:r>
          </w:p>
        </w:tc>
        <w:tc>
          <w:tcPr>
            <w:tcW w:w="2551" w:type="dxa"/>
            <w:vAlign w:val="center"/>
          </w:tcPr>
          <w:p>
            <w:pPr>
              <w:pStyle w:val="12"/>
            </w:pPr>
            <w:r>
              <w:t>符合国家采购标准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法律意见采纳率</w:t>
            </w:r>
          </w:p>
        </w:tc>
        <w:tc>
          <w:tcPr>
            <w:tcW w:w="3430" w:type="dxa"/>
            <w:vAlign w:val="center"/>
          </w:tcPr>
          <w:p>
            <w:pPr>
              <w:pStyle w:val="12"/>
            </w:pPr>
            <w:r>
              <w:t>法律意见采纳率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立法联系点全市覆盖率</w:t>
            </w:r>
          </w:p>
        </w:tc>
        <w:tc>
          <w:tcPr>
            <w:tcW w:w="3430" w:type="dxa"/>
            <w:vAlign w:val="center"/>
          </w:tcPr>
          <w:p>
            <w:pPr>
              <w:pStyle w:val="12"/>
            </w:pPr>
            <w:r>
              <w:t>立法联系点全市覆盖率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数据库法律法规准确率</w:t>
            </w:r>
          </w:p>
        </w:tc>
        <w:tc>
          <w:tcPr>
            <w:tcW w:w="3430" w:type="dxa"/>
            <w:vAlign w:val="center"/>
          </w:tcPr>
          <w:p>
            <w:pPr>
              <w:pStyle w:val="12"/>
            </w:pPr>
            <w:r>
              <w:t>数据库法律法规准确率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印刷完成情况</w:t>
            </w:r>
          </w:p>
        </w:tc>
        <w:tc>
          <w:tcPr>
            <w:tcW w:w="3430" w:type="dxa"/>
            <w:vAlign w:val="center"/>
          </w:tcPr>
          <w:p>
            <w:pPr>
              <w:pStyle w:val="12"/>
            </w:pPr>
            <w:r>
              <w:t>印刷完成情况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证件制作完成时间</w:t>
            </w:r>
          </w:p>
        </w:tc>
        <w:tc>
          <w:tcPr>
            <w:tcW w:w="3430" w:type="dxa"/>
            <w:vAlign w:val="center"/>
          </w:tcPr>
          <w:p>
            <w:pPr>
              <w:pStyle w:val="12"/>
            </w:pPr>
            <w:r>
              <w:t>证件制作完成时间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立法联系点建设</w:t>
            </w:r>
          </w:p>
        </w:tc>
        <w:tc>
          <w:tcPr>
            <w:tcW w:w="3430" w:type="dxa"/>
            <w:vAlign w:val="center"/>
          </w:tcPr>
          <w:p>
            <w:pPr>
              <w:pStyle w:val="12"/>
            </w:pPr>
            <w:r>
              <w:t>立法联系点建设</w:t>
            </w:r>
          </w:p>
        </w:tc>
        <w:tc>
          <w:tcPr>
            <w:tcW w:w="2551" w:type="dxa"/>
            <w:vAlign w:val="center"/>
          </w:tcPr>
          <w:p>
            <w:pPr>
              <w:pStyle w:val="12"/>
            </w:pPr>
            <w:r>
              <w:t>2025年9月底前完成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为重大行政决策、重大行政行为提供法律意见；参与重要立法项目和重大行政规范性文件的审核和论证工作</w:t>
            </w:r>
          </w:p>
        </w:tc>
        <w:tc>
          <w:tcPr>
            <w:tcW w:w="3430" w:type="dxa"/>
            <w:vAlign w:val="center"/>
          </w:tcPr>
          <w:p>
            <w:pPr>
              <w:pStyle w:val="12"/>
            </w:pPr>
            <w:r>
              <w:t>为重大行政决策、重大行政行为提供法律意见；参与重要立法项目和重大行政规范性文件的审核和论证工作</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pPr>
              <w:pStyle w:val="12"/>
            </w:pPr>
            <w:r>
              <w:t>参与重大、疑难、复杂的行政复议、诉讼、行政执法监督、裁决、仲裁等法律事务；为重要经济项目、资产处置、涉及社会稳定的重要事项以及涉法涉诉、信访案件、重大突发事件等提供法律服务</w:t>
            </w:r>
          </w:p>
        </w:tc>
        <w:tc>
          <w:tcPr>
            <w:tcW w:w="2551" w:type="dxa"/>
            <w:vAlign w:val="center"/>
          </w:tcPr>
          <w:p>
            <w:pPr>
              <w:pStyle w:val="12"/>
            </w:pPr>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参与合作项目的洽谈，协助起草、修改、审核重要的法律文书或者以政府为一方当事人的重大合同</w:t>
            </w:r>
          </w:p>
        </w:tc>
        <w:tc>
          <w:tcPr>
            <w:tcW w:w="3430" w:type="dxa"/>
            <w:vAlign w:val="center"/>
          </w:tcPr>
          <w:p>
            <w:pPr>
              <w:pStyle w:val="12"/>
            </w:pPr>
            <w:r>
              <w:t>参与合作项目的洽谈，协助起草、修改、审核重要的法律文书或者以政府为一方当事人的重大合同</w:t>
            </w:r>
          </w:p>
        </w:tc>
        <w:tc>
          <w:tcPr>
            <w:tcW w:w="2551" w:type="dxa"/>
            <w:vAlign w:val="center"/>
          </w:tcPr>
          <w:p>
            <w:pPr>
              <w:pStyle w:val="12"/>
            </w:pPr>
            <w:r>
              <w:t>≥5日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按期完成率</w:t>
            </w:r>
          </w:p>
        </w:tc>
        <w:tc>
          <w:tcPr>
            <w:tcW w:w="3430" w:type="dxa"/>
            <w:vAlign w:val="center"/>
          </w:tcPr>
          <w:p>
            <w:pPr>
              <w:pStyle w:val="12"/>
            </w:pPr>
            <w:r>
              <w:t>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执法证证件成本</w:t>
            </w:r>
          </w:p>
        </w:tc>
        <w:tc>
          <w:tcPr>
            <w:tcW w:w="3430" w:type="dxa"/>
            <w:vAlign w:val="center"/>
          </w:tcPr>
          <w:p>
            <w:pPr>
              <w:pStyle w:val="12"/>
            </w:pPr>
            <w:r>
              <w:t>执法证证件成本</w:t>
            </w:r>
          </w:p>
        </w:tc>
        <w:tc>
          <w:tcPr>
            <w:tcW w:w="2551" w:type="dxa"/>
            <w:vAlign w:val="center"/>
          </w:tcPr>
          <w:p>
            <w:pPr>
              <w:pStyle w:val="12"/>
            </w:pPr>
            <w:r>
              <w:t>≤30元/套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制作执法证支出</w:t>
            </w:r>
          </w:p>
        </w:tc>
        <w:tc>
          <w:tcPr>
            <w:tcW w:w="3430" w:type="dxa"/>
            <w:vAlign w:val="center"/>
          </w:tcPr>
          <w:p>
            <w:pPr>
              <w:pStyle w:val="12"/>
            </w:pPr>
            <w:r>
              <w:t>制作执法证支出</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法律顾问基础顾问费</w:t>
            </w:r>
          </w:p>
        </w:tc>
        <w:tc>
          <w:tcPr>
            <w:tcW w:w="3430" w:type="dxa"/>
            <w:vAlign w:val="center"/>
          </w:tcPr>
          <w:p>
            <w:pPr>
              <w:pStyle w:val="12"/>
            </w:pPr>
            <w:r>
              <w:t>法律顾问基础顾问费</w:t>
            </w:r>
          </w:p>
        </w:tc>
        <w:tc>
          <w:tcPr>
            <w:tcW w:w="2551" w:type="dxa"/>
            <w:vAlign w:val="center"/>
          </w:tcPr>
          <w:p>
            <w:pPr>
              <w:pStyle w:val="12"/>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绩效顾问费</w:t>
            </w:r>
          </w:p>
        </w:tc>
        <w:tc>
          <w:tcPr>
            <w:tcW w:w="3430" w:type="dxa"/>
            <w:vAlign w:val="center"/>
          </w:tcPr>
          <w:p>
            <w:pPr>
              <w:pStyle w:val="12"/>
            </w:pPr>
            <w:r>
              <w:t>绩效顾问费</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培训支出</w:t>
            </w:r>
          </w:p>
        </w:tc>
        <w:tc>
          <w:tcPr>
            <w:tcW w:w="3430" w:type="dxa"/>
            <w:vAlign w:val="center"/>
          </w:tcPr>
          <w:p>
            <w:pPr>
              <w:pStyle w:val="12"/>
            </w:pPr>
            <w:r>
              <w:t>培训支出</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颁授统一的标志牌、购买相关书籍等材料</w:t>
            </w:r>
          </w:p>
        </w:tc>
        <w:tc>
          <w:tcPr>
            <w:tcW w:w="3430" w:type="dxa"/>
            <w:vAlign w:val="center"/>
          </w:tcPr>
          <w:p>
            <w:pPr>
              <w:pStyle w:val="12"/>
            </w:pPr>
            <w:r>
              <w:t>颁授统一的标志牌、购买相关书籍等材料</w:t>
            </w:r>
          </w:p>
        </w:tc>
        <w:tc>
          <w:tcPr>
            <w:tcW w:w="2551" w:type="dxa"/>
            <w:vAlign w:val="center"/>
          </w:tcPr>
          <w:p>
            <w:pPr>
              <w:pStyle w:val="12"/>
            </w:pPr>
            <w:r>
              <w:t>≤2.04万元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更新数据库费用</w:t>
            </w:r>
          </w:p>
        </w:tc>
        <w:tc>
          <w:tcPr>
            <w:tcW w:w="3430" w:type="dxa"/>
            <w:vAlign w:val="center"/>
          </w:tcPr>
          <w:p>
            <w:pPr>
              <w:pStyle w:val="12"/>
            </w:pPr>
            <w:r>
              <w:t>更新数据库费用</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行政复议工作经费</w:t>
            </w:r>
          </w:p>
        </w:tc>
        <w:tc>
          <w:tcPr>
            <w:tcW w:w="3430" w:type="dxa"/>
            <w:vAlign w:val="center"/>
          </w:tcPr>
          <w:p>
            <w:pPr>
              <w:pStyle w:val="12"/>
            </w:pPr>
            <w:r>
              <w:t>行政复议工作经费</w:t>
            </w:r>
          </w:p>
        </w:tc>
        <w:tc>
          <w:tcPr>
            <w:tcW w:w="2551" w:type="dxa"/>
            <w:vAlign w:val="center"/>
          </w:tcPr>
          <w:p>
            <w:pPr>
              <w:pStyle w:val="12"/>
            </w:pPr>
            <w:r>
              <w:t>≤9.76万元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满足持证执法要求</w:t>
            </w:r>
          </w:p>
        </w:tc>
        <w:tc>
          <w:tcPr>
            <w:tcW w:w="3430" w:type="dxa"/>
            <w:vAlign w:val="center"/>
          </w:tcPr>
          <w:p>
            <w:pPr>
              <w:pStyle w:val="12"/>
            </w:pPr>
            <w:r>
              <w:t>满足持证执法要求</w:t>
            </w:r>
          </w:p>
        </w:tc>
        <w:tc>
          <w:tcPr>
            <w:tcW w:w="2551" w:type="dxa"/>
            <w:vAlign w:val="center"/>
          </w:tcPr>
          <w:p>
            <w:pPr>
              <w:pStyle w:val="12"/>
            </w:pPr>
            <w:r>
              <w:t>做到执法人员一人一证，提升执法质量，实现严格规范公正文明执法。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依法行政能力水平</w:t>
            </w:r>
          </w:p>
        </w:tc>
        <w:tc>
          <w:tcPr>
            <w:tcW w:w="3430" w:type="dxa"/>
            <w:vAlign w:val="center"/>
          </w:tcPr>
          <w:p>
            <w:pPr>
              <w:pStyle w:val="12"/>
            </w:pPr>
            <w:r>
              <w:t>依法行政能力水平</w:t>
            </w:r>
          </w:p>
        </w:tc>
        <w:tc>
          <w:tcPr>
            <w:tcW w:w="2551" w:type="dxa"/>
            <w:vAlign w:val="center"/>
          </w:tcPr>
          <w:p>
            <w:pPr>
              <w:pStyle w:val="12"/>
            </w:pPr>
            <w:r>
              <w:t>提高依法行政能力水平，进一步提高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立法联系点在行政立法过程中的参与度和提出意见的质量</w:t>
            </w:r>
          </w:p>
        </w:tc>
        <w:tc>
          <w:tcPr>
            <w:tcW w:w="3430" w:type="dxa"/>
            <w:vAlign w:val="center"/>
          </w:tcPr>
          <w:p>
            <w:pPr>
              <w:pStyle w:val="12"/>
            </w:pPr>
            <w:r>
              <w:t>立法联系点在行政立法过程中的参与度和提出意见的质量</w:t>
            </w:r>
          </w:p>
        </w:tc>
        <w:tc>
          <w:tcPr>
            <w:tcW w:w="2551" w:type="dxa"/>
            <w:vAlign w:val="center"/>
          </w:tcPr>
          <w:p>
            <w:pPr>
              <w:pStyle w:val="12"/>
            </w:pPr>
            <w:r>
              <w:t>充分发挥立法联系点发扬民主、汇聚民智的重要功能，为以良法促发展、保善治，奋力建设法治建设先行区奠定坚实基础。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法治工作成效</w:t>
            </w:r>
          </w:p>
        </w:tc>
        <w:tc>
          <w:tcPr>
            <w:tcW w:w="3430" w:type="dxa"/>
            <w:vAlign w:val="center"/>
          </w:tcPr>
          <w:p>
            <w:pPr>
              <w:pStyle w:val="12"/>
            </w:pPr>
            <w:r>
              <w:t>法治工作成效</w:t>
            </w:r>
          </w:p>
        </w:tc>
        <w:tc>
          <w:tcPr>
            <w:tcW w:w="2551" w:type="dxa"/>
            <w:vAlign w:val="center"/>
          </w:tcPr>
          <w:p>
            <w:pPr>
              <w:pStyle w:val="12"/>
            </w:pPr>
            <w:r>
              <w:t>提高工作便利度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行政复议工作人员的办案能力和水平</w:t>
            </w:r>
          </w:p>
        </w:tc>
        <w:tc>
          <w:tcPr>
            <w:tcW w:w="3430" w:type="dxa"/>
            <w:vAlign w:val="center"/>
          </w:tcPr>
          <w:p>
            <w:pPr>
              <w:pStyle w:val="12"/>
            </w:pPr>
            <w:r>
              <w:t>行政复议工作人员的办案能力和水平</w:t>
            </w:r>
          </w:p>
        </w:tc>
        <w:tc>
          <w:tcPr>
            <w:tcW w:w="2551" w:type="dxa"/>
            <w:vAlign w:val="center"/>
          </w:tcPr>
          <w:p>
            <w:pPr>
              <w:pStyle w:val="12"/>
            </w:pPr>
            <w:r>
              <w:t>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执法人员满意度</w:t>
            </w:r>
          </w:p>
        </w:tc>
        <w:tc>
          <w:tcPr>
            <w:tcW w:w="3430" w:type="dxa"/>
            <w:vAlign w:val="center"/>
          </w:tcPr>
          <w:p>
            <w:pPr>
              <w:pStyle w:val="12"/>
            </w:pPr>
            <w:r>
              <w:t>执法人员满意度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立法联系点工作人员满意度</w:t>
            </w:r>
          </w:p>
        </w:tc>
        <w:tc>
          <w:tcPr>
            <w:tcW w:w="3430" w:type="dxa"/>
            <w:vAlign w:val="center"/>
          </w:tcPr>
          <w:p>
            <w:pPr>
              <w:pStyle w:val="12"/>
            </w:pPr>
            <w:r>
              <w:t>立法联系点工作人员满意度</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数据库使用人员满意度</w:t>
            </w:r>
          </w:p>
        </w:tc>
        <w:tc>
          <w:tcPr>
            <w:tcW w:w="3430" w:type="dxa"/>
            <w:vAlign w:val="center"/>
          </w:tcPr>
          <w:p>
            <w:pPr>
              <w:pStyle w:val="12"/>
            </w:pPr>
            <w:r>
              <w:t>数据库使用人员满意度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6.公共法律服务项目绩效目标表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公共法律服务项目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110.90</w:t>
            </w:r>
          </w:p>
        </w:tc>
        <w:tc>
          <w:tcPr>
            <w:tcW w:w="1587" w:type="dxa"/>
            <w:vAlign w:val="center"/>
          </w:tcPr>
          <w:p>
            <w:pPr>
              <w:pStyle w:val="13"/>
            </w:pPr>
            <w:r>
              <w:t>其中：财政    资金</w:t>
            </w:r>
          </w:p>
        </w:tc>
        <w:tc>
          <w:tcPr>
            <w:tcW w:w="1843" w:type="dxa"/>
            <w:vAlign w:val="center"/>
          </w:tcPr>
          <w:p>
            <w:pPr>
              <w:pStyle w:val="12"/>
            </w:pPr>
            <w:r>
              <w:t>110.90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公共法律服务经费。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1.1.完成我市2025年度公共法律服务系列和律师系列职称评审工作，激发公共法律服务和律师专业人员争创一流的积极性，加强我市公共法律服务和律师专业人才队伍建设。</w:t>
            </w:r>
          </w:p>
          <w:p>
            <w:pPr>
              <w:pStyle w:val="12"/>
            </w:pPr>
            <w:r>
              <w:t>2.落实司法部司法鉴定严格准入要求，提升司法鉴定公信力，促进司法鉴定行业健康发展。</w:t>
            </w:r>
          </w:p>
          <w:p>
            <w:pPr>
              <w:pStyle w:val="12"/>
            </w:pPr>
            <w:r>
              <w:t>3.加强法律援助质量管理，开展法律援助案件质量同行评估工作。</w:t>
            </w:r>
          </w:p>
          <w:p>
            <w:pPr>
              <w:pStyle w:val="12"/>
            </w:pPr>
            <w:r>
              <w:t>4.支持律师化解和代理涉法涉诉信访案件工作，以化解社会矛盾、定纷止争为目的，帮助政法部门依法处理涉法涉诉信访问题。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每场中级职称评审会议评审专家人数</w:t>
            </w:r>
          </w:p>
        </w:tc>
        <w:tc>
          <w:tcPr>
            <w:tcW w:w="3430" w:type="dxa"/>
            <w:vAlign w:val="center"/>
          </w:tcPr>
          <w:p>
            <w:pPr>
              <w:pStyle w:val="12"/>
            </w:pPr>
            <w:r>
              <w:t>每场中级职称评审会议评审专家人数</w:t>
            </w:r>
          </w:p>
        </w:tc>
        <w:tc>
          <w:tcPr>
            <w:tcW w:w="2551" w:type="dxa"/>
            <w:vAlign w:val="center"/>
          </w:tcPr>
          <w:p>
            <w:pPr>
              <w:pStyle w:val="1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每场高级评审会议评审专家人数</w:t>
            </w:r>
          </w:p>
        </w:tc>
        <w:tc>
          <w:tcPr>
            <w:tcW w:w="3430" w:type="dxa"/>
            <w:vAlign w:val="center"/>
          </w:tcPr>
          <w:p>
            <w:pPr>
              <w:pStyle w:val="12"/>
            </w:pPr>
            <w:r>
              <w:t>每场高级评审会议评审专家人数</w:t>
            </w:r>
          </w:p>
        </w:tc>
        <w:tc>
          <w:tcPr>
            <w:tcW w:w="2551" w:type="dxa"/>
            <w:vAlign w:val="center"/>
          </w:tcPr>
          <w:p>
            <w:pPr>
              <w:pStyle w:val="12"/>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法律援助案件质量评估次数</w:t>
            </w:r>
          </w:p>
        </w:tc>
        <w:tc>
          <w:tcPr>
            <w:tcW w:w="3430" w:type="dxa"/>
            <w:vAlign w:val="center"/>
          </w:tcPr>
          <w:p>
            <w:pPr>
              <w:pStyle w:val="12"/>
            </w:pPr>
            <w:r>
              <w:t>法律援助案件质量评估次数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法律援助案件质量评估外聘专家人数</w:t>
            </w:r>
          </w:p>
        </w:tc>
        <w:tc>
          <w:tcPr>
            <w:tcW w:w="3430" w:type="dxa"/>
            <w:vAlign w:val="center"/>
          </w:tcPr>
          <w:p>
            <w:pPr>
              <w:pStyle w:val="12"/>
            </w:pPr>
            <w:r>
              <w:t>法律援助案件质量评估外聘专家人数</w:t>
            </w:r>
          </w:p>
        </w:tc>
        <w:tc>
          <w:tcPr>
            <w:tcW w:w="2551" w:type="dxa"/>
            <w:vAlign w:val="center"/>
          </w:tcPr>
          <w:p>
            <w:pPr>
              <w:pStyle w:val="12"/>
            </w:pPr>
            <w:r>
              <w:t>≥42人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法律援助案件质量评估天数</w:t>
            </w:r>
          </w:p>
        </w:tc>
        <w:tc>
          <w:tcPr>
            <w:tcW w:w="3430" w:type="dxa"/>
            <w:vAlign w:val="center"/>
          </w:tcPr>
          <w:p>
            <w:pPr>
              <w:pStyle w:val="12"/>
            </w:pPr>
            <w:r>
              <w:t>法律援助案件质量评估天数</w:t>
            </w:r>
          </w:p>
        </w:tc>
        <w:tc>
          <w:tcPr>
            <w:tcW w:w="2551" w:type="dxa"/>
            <w:vAlign w:val="center"/>
          </w:tcPr>
          <w:p>
            <w:pPr>
              <w:pStyle w:val="12"/>
            </w:pPr>
            <w:r>
              <w:t>每次1天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制作数量</w:t>
            </w:r>
          </w:p>
        </w:tc>
        <w:tc>
          <w:tcPr>
            <w:tcW w:w="3430" w:type="dxa"/>
            <w:vAlign w:val="center"/>
          </w:tcPr>
          <w:p>
            <w:pPr>
              <w:pStyle w:val="12"/>
            </w:pPr>
            <w:r>
              <w:t>制作数量</w:t>
            </w:r>
          </w:p>
        </w:tc>
        <w:tc>
          <w:tcPr>
            <w:tcW w:w="2551" w:type="dxa"/>
            <w:vAlign w:val="center"/>
          </w:tcPr>
          <w:p>
            <w:pPr>
              <w:pStyle w:val="12"/>
            </w:pPr>
            <w:r>
              <w:t>≥10800份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发放单位</w:t>
            </w:r>
          </w:p>
        </w:tc>
        <w:tc>
          <w:tcPr>
            <w:tcW w:w="3430" w:type="dxa"/>
            <w:vAlign w:val="center"/>
          </w:tcPr>
          <w:p>
            <w:pPr>
              <w:pStyle w:val="12"/>
            </w:pPr>
            <w:r>
              <w:t>发放单位</w:t>
            </w:r>
          </w:p>
        </w:tc>
        <w:tc>
          <w:tcPr>
            <w:tcW w:w="2551" w:type="dxa"/>
            <w:vAlign w:val="center"/>
          </w:tcPr>
          <w:p>
            <w:pPr>
              <w:pStyle w:val="12"/>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单次评审专家人数</w:t>
            </w:r>
          </w:p>
        </w:tc>
        <w:tc>
          <w:tcPr>
            <w:tcW w:w="3430" w:type="dxa"/>
            <w:vAlign w:val="center"/>
          </w:tcPr>
          <w:p>
            <w:pPr>
              <w:pStyle w:val="12"/>
            </w:pPr>
            <w:r>
              <w:t>单次评审专家人数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《名册》印制数量</w:t>
            </w:r>
          </w:p>
        </w:tc>
        <w:tc>
          <w:tcPr>
            <w:tcW w:w="3430" w:type="dxa"/>
            <w:vAlign w:val="center"/>
          </w:tcPr>
          <w:p>
            <w:pPr>
              <w:pStyle w:val="12"/>
            </w:pPr>
            <w:r>
              <w:t>《名册》印制数量</w:t>
            </w:r>
          </w:p>
        </w:tc>
        <w:tc>
          <w:tcPr>
            <w:tcW w:w="2551" w:type="dxa"/>
            <w:vAlign w:val="center"/>
          </w:tcPr>
          <w:p>
            <w:pPr>
              <w:pStyle w:val="12"/>
            </w:pPr>
            <w:r>
              <w:t>≥700册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司法鉴定考试次数</w:t>
            </w:r>
          </w:p>
        </w:tc>
        <w:tc>
          <w:tcPr>
            <w:tcW w:w="3430" w:type="dxa"/>
            <w:vAlign w:val="center"/>
          </w:tcPr>
          <w:p>
            <w:pPr>
              <w:pStyle w:val="12"/>
            </w:pPr>
            <w:r>
              <w:t xml:space="preserve"> 司法鉴定考试次数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律师接待涉法涉诉信访案件数量</w:t>
            </w:r>
          </w:p>
        </w:tc>
        <w:tc>
          <w:tcPr>
            <w:tcW w:w="3430" w:type="dxa"/>
            <w:vAlign w:val="center"/>
          </w:tcPr>
          <w:p>
            <w:pPr>
              <w:pStyle w:val="12"/>
            </w:pPr>
            <w:r>
              <w:t>律师接待涉法涉诉信访案件数量</w:t>
            </w:r>
          </w:p>
        </w:tc>
        <w:tc>
          <w:tcPr>
            <w:tcW w:w="2551" w:type="dxa"/>
            <w:vAlign w:val="center"/>
          </w:tcPr>
          <w:p>
            <w:pPr>
              <w:pStyle w:val="12"/>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评审程序</w:t>
            </w:r>
          </w:p>
        </w:tc>
        <w:tc>
          <w:tcPr>
            <w:tcW w:w="3430" w:type="dxa"/>
            <w:vAlign w:val="center"/>
          </w:tcPr>
          <w:p>
            <w:pPr>
              <w:pStyle w:val="12"/>
            </w:pPr>
            <w:r>
              <w:t>评审程序</w:t>
            </w:r>
          </w:p>
        </w:tc>
        <w:tc>
          <w:tcPr>
            <w:tcW w:w="2551" w:type="dxa"/>
            <w:vAlign w:val="center"/>
          </w:tcPr>
          <w:p>
            <w:pPr>
              <w:pStyle w:val="12"/>
            </w:pPr>
            <w:r>
              <w:t>符合职称评审管理要求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民事法律援助案件</w:t>
            </w:r>
          </w:p>
        </w:tc>
        <w:tc>
          <w:tcPr>
            <w:tcW w:w="3430" w:type="dxa"/>
            <w:vAlign w:val="center"/>
          </w:tcPr>
          <w:p>
            <w:pPr>
              <w:pStyle w:val="12"/>
            </w:pPr>
            <w:r>
              <w:t>民事法律援助案件</w:t>
            </w:r>
          </w:p>
        </w:tc>
        <w:tc>
          <w:tcPr>
            <w:tcW w:w="2551" w:type="dxa"/>
            <w:vAlign w:val="center"/>
          </w:tcPr>
          <w:p>
            <w:pPr>
              <w:pStyle w:val="12"/>
            </w:pPr>
            <w:r>
              <w:t>符合《全国民事行政法律援助服务规范》《民事行政法律援助案件质量同行评估规则》要求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刑事法律援助案件</w:t>
            </w:r>
          </w:p>
        </w:tc>
        <w:tc>
          <w:tcPr>
            <w:tcW w:w="3430" w:type="dxa"/>
            <w:vAlign w:val="center"/>
          </w:tcPr>
          <w:p>
            <w:pPr>
              <w:pStyle w:val="12"/>
            </w:pPr>
            <w:r>
              <w:t>刑事法律援助案件</w:t>
            </w:r>
          </w:p>
        </w:tc>
        <w:tc>
          <w:tcPr>
            <w:tcW w:w="2551" w:type="dxa"/>
            <w:vAlign w:val="center"/>
          </w:tcPr>
          <w:p>
            <w:pPr>
              <w:pStyle w:val="12"/>
            </w:pPr>
            <w:r>
              <w:t>符合《全国刑事法律援助服务规范》《刑事法律援助案件质量同行评估规则》要求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司法鉴定专家评审质量</w:t>
            </w:r>
          </w:p>
        </w:tc>
        <w:tc>
          <w:tcPr>
            <w:tcW w:w="3430" w:type="dxa"/>
            <w:vAlign w:val="center"/>
          </w:tcPr>
          <w:p>
            <w:pPr>
              <w:pStyle w:val="12"/>
            </w:pPr>
            <w:r>
              <w:t>司法鉴定专家评审质量</w:t>
            </w:r>
          </w:p>
        </w:tc>
        <w:tc>
          <w:tcPr>
            <w:tcW w:w="2551" w:type="dxa"/>
            <w:vAlign w:val="center"/>
          </w:tcPr>
          <w:p>
            <w:pPr>
              <w:pStyle w:val="12"/>
            </w:pPr>
            <w:r>
              <w:t>按机构需求选择合适专家开展评审评审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专家评审质量</w:t>
            </w:r>
          </w:p>
        </w:tc>
        <w:tc>
          <w:tcPr>
            <w:tcW w:w="3430" w:type="dxa"/>
            <w:vAlign w:val="center"/>
          </w:tcPr>
          <w:p>
            <w:pPr>
              <w:pStyle w:val="12"/>
            </w:pPr>
            <w:r>
              <w:t>专家评审质量</w:t>
            </w:r>
          </w:p>
        </w:tc>
        <w:tc>
          <w:tcPr>
            <w:tcW w:w="2551" w:type="dxa"/>
            <w:vAlign w:val="center"/>
          </w:tcPr>
          <w:p>
            <w:pPr>
              <w:pStyle w:val="12"/>
            </w:pPr>
            <w:r>
              <w:t>按照《司法鉴定机构登记评审细则》等文件规范开展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《名册》印制效果</w:t>
            </w:r>
          </w:p>
        </w:tc>
        <w:tc>
          <w:tcPr>
            <w:tcW w:w="3430" w:type="dxa"/>
            <w:vAlign w:val="center"/>
          </w:tcPr>
          <w:p>
            <w:pPr>
              <w:pStyle w:val="12"/>
            </w:pPr>
            <w:r>
              <w:t>《名册》印制效果</w:t>
            </w:r>
          </w:p>
        </w:tc>
        <w:tc>
          <w:tcPr>
            <w:tcW w:w="2551" w:type="dxa"/>
            <w:vAlign w:val="center"/>
          </w:tcPr>
          <w:p>
            <w:pPr>
              <w:pStyle w:val="12"/>
            </w:pPr>
            <w:r>
              <w:t>印刷字迹清晰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司法鉴定执业人员能力评估公共基础知识考核</w:t>
            </w:r>
          </w:p>
        </w:tc>
        <w:tc>
          <w:tcPr>
            <w:tcW w:w="3430" w:type="dxa"/>
            <w:vAlign w:val="center"/>
          </w:tcPr>
          <w:p>
            <w:pPr>
              <w:pStyle w:val="12"/>
            </w:pPr>
            <w:r>
              <w:t>司法鉴定执业人员能力评估公共基础知识考核</w:t>
            </w:r>
          </w:p>
        </w:tc>
        <w:tc>
          <w:tcPr>
            <w:tcW w:w="2551" w:type="dxa"/>
            <w:vAlign w:val="center"/>
          </w:tcPr>
          <w:p>
            <w:pPr>
              <w:pStyle w:val="12"/>
            </w:pPr>
            <w:r>
              <w:t>提升试卷质量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律师参与涉法涉诉信访案件接待率</w:t>
            </w:r>
          </w:p>
        </w:tc>
        <w:tc>
          <w:tcPr>
            <w:tcW w:w="3430" w:type="dxa"/>
            <w:vAlign w:val="center"/>
          </w:tcPr>
          <w:p>
            <w:pPr>
              <w:pStyle w:val="12"/>
            </w:pPr>
            <w:r>
              <w:t>律师参与涉法涉诉信访案件接待率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项目验收合格率</w:t>
            </w:r>
          </w:p>
        </w:tc>
        <w:tc>
          <w:tcPr>
            <w:tcW w:w="3430" w:type="dxa"/>
            <w:vAlign w:val="center"/>
          </w:tcPr>
          <w:p>
            <w:pPr>
              <w:pStyle w:val="12"/>
            </w:pPr>
            <w:r>
              <w:t>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召开评审会议</w:t>
            </w:r>
          </w:p>
        </w:tc>
        <w:tc>
          <w:tcPr>
            <w:tcW w:w="3430" w:type="dxa"/>
            <w:vAlign w:val="center"/>
          </w:tcPr>
          <w:p>
            <w:pPr>
              <w:pStyle w:val="12"/>
            </w:pPr>
            <w:r>
              <w:t>召开评审会议</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法律援助案件质量评估项目工作完成时限</w:t>
            </w:r>
          </w:p>
        </w:tc>
        <w:tc>
          <w:tcPr>
            <w:tcW w:w="3430" w:type="dxa"/>
            <w:vAlign w:val="center"/>
          </w:tcPr>
          <w:p>
            <w:pPr>
              <w:pStyle w:val="12"/>
            </w:pPr>
            <w:r>
              <w:t>法律援助案件质量评估项目工作完成时限</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年内按照机构需求开展</w:t>
            </w:r>
          </w:p>
        </w:tc>
        <w:tc>
          <w:tcPr>
            <w:tcW w:w="3430" w:type="dxa"/>
            <w:vAlign w:val="center"/>
          </w:tcPr>
          <w:p>
            <w:pPr>
              <w:pStyle w:val="12"/>
            </w:pPr>
            <w:r>
              <w:t>年内按照机构需求开展</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律师在市级政法单位值班时间</w:t>
            </w:r>
          </w:p>
        </w:tc>
        <w:tc>
          <w:tcPr>
            <w:tcW w:w="3430" w:type="dxa"/>
            <w:vAlign w:val="center"/>
          </w:tcPr>
          <w:p>
            <w:pPr>
              <w:pStyle w:val="12"/>
            </w:pPr>
            <w:r>
              <w:t>律师在市级政法单位值班时间</w:t>
            </w:r>
          </w:p>
        </w:tc>
        <w:tc>
          <w:tcPr>
            <w:tcW w:w="2551" w:type="dxa"/>
            <w:vAlign w:val="center"/>
          </w:tcPr>
          <w:p>
            <w:pPr>
              <w:pStyle w:val="12"/>
            </w:pPr>
            <w:r>
              <w:t>根据各政法单位需要确定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项目服务时间</w:t>
            </w:r>
          </w:p>
        </w:tc>
        <w:tc>
          <w:tcPr>
            <w:tcW w:w="3430" w:type="dxa"/>
            <w:vAlign w:val="center"/>
          </w:tcPr>
          <w:p>
            <w:pPr>
              <w:pStyle w:val="12"/>
            </w:pPr>
            <w:r>
              <w:t>项目服务时间</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法律援助宣传完成时限</w:t>
            </w:r>
          </w:p>
        </w:tc>
        <w:tc>
          <w:tcPr>
            <w:tcW w:w="3430" w:type="dxa"/>
            <w:vAlign w:val="center"/>
          </w:tcPr>
          <w:p>
            <w:pPr>
              <w:pStyle w:val="12"/>
            </w:pPr>
            <w:r>
              <w:t>法律援助宣传完成时限</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《名册》印制完成时间</w:t>
            </w:r>
          </w:p>
        </w:tc>
        <w:tc>
          <w:tcPr>
            <w:tcW w:w="3430" w:type="dxa"/>
            <w:vAlign w:val="center"/>
          </w:tcPr>
          <w:p>
            <w:pPr>
              <w:pStyle w:val="12"/>
            </w:pPr>
            <w:r>
              <w:t>《名册》印制完成时间</w:t>
            </w:r>
          </w:p>
        </w:tc>
        <w:tc>
          <w:tcPr>
            <w:tcW w:w="2551" w:type="dxa"/>
            <w:vAlign w:val="center"/>
          </w:tcPr>
          <w:p>
            <w:pPr>
              <w:pStyle w:val="12"/>
            </w:pPr>
            <w:r>
              <w:t>二季度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组织考试</w:t>
            </w:r>
          </w:p>
        </w:tc>
        <w:tc>
          <w:tcPr>
            <w:tcW w:w="3430" w:type="dxa"/>
            <w:vAlign w:val="center"/>
          </w:tcPr>
          <w:p>
            <w:pPr>
              <w:pStyle w:val="12"/>
            </w:pPr>
            <w:r>
              <w:t>组织考试</w:t>
            </w:r>
          </w:p>
        </w:tc>
        <w:tc>
          <w:tcPr>
            <w:tcW w:w="2551" w:type="dxa"/>
            <w:vAlign w:val="center"/>
          </w:tcPr>
          <w:p>
            <w:pPr>
              <w:pStyle w:val="12"/>
            </w:pPr>
            <w:r>
              <w:t>上半年考试2025年6月底前、下半年考试12月底前完成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律师化解和代理涉法涉诉信访案件工作经费</w:t>
            </w:r>
          </w:p>
        </w:tc>
        <w:tc>
          <w:tcPr>
            <w:tcW w:w="3430" w:type="dxa"/>
            <w:vAlign w:val="center"/>
          </w:tcPr>
          <w:p>
            <w:pPr>
              <w:pStyle w:val="12"/>
            </w:pPr>
            <w:r>
              <w:t>律师化解和代理涉法涉诉信访案件工作经费</w:t>
            </w:r>
          </w:p>
        </w:tc>
        <w:tc>
          <w:tcPr>
            <w:tcW w:w="2551" w:type="dxa"/>
            <w:vAlign w:val="center"/>
          </w:tcPr>
          <w:p>
            <w:pPr>
              <w:pStyle w:val="12"/>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法律援助工作经费</w:t>
            </w:r>
          </w:p>
        </w:tc>
        <w:tc>
          <w:tcPr>
            <w:tcW w:w="3430" w:type="dxa"/>
            <w:vAlign w:val="center"/>
          </w:tcPr>
          <w:p>
            <w:pPr>
              <w:pStyle w:val="12"/>
            </w:pPr>
            <w:r>
              <w:t>法律援助工作经费</w:t>
            </w:r>
          </w:p>
        </w:tc>
        <w:tc>
          <w:tcPr>
            <w:tcW w:w="2551" w:type="dxa"/>
            <w:vAlign w:val="center"/>
          </w:tcPr>
          <w:p>
            <w:pPr>
              <w:pStyle w:val="12"/>
            </w:pPr>
            <w:r>
              <w:t>≤6.6万元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司法鉴定工作经费</w:t>
            </w:r>
          </w:p>
        </w:tc>
        <w:tc>
          <w:tcPr>
            <w:tcW w:w="3430" w:type="dxa"/>
            <w:vAlign w:val="center"/>
          </w:tcPr>
          <w:p>
            <w:pPr>
              <w:pStyle w:val="12"/>
            </w:pPr>
            <w:r>
              <w:t>司法鉴定工作经费</w:t>
            </w:r>
          </w:p>
        </w:tc>
        <w:tc>
          <w:tcPr>
            <w:tcW w:w="2551" w:type="dxa"/>
            <w:vAlign w:val="center"/>
          </w:tcPr>
          <w:p>
            <w:pPr>
              <w:pStyle w:val="12"/>
            </w:pPr>
            <w:r>
              <w:t>≤17.9万元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职称评审工作经费</w:t>
            </w:r>
          </w:p>
        </w:tc>
        <w:tc>
          <w:tcPr>
            <w:tcW w:w="3430" w:type="dxa"/>
            <w:vAlign w:val="center"/>
          </w:tcPr>
          <w:p>
            <w:pPr>
              <w:pStyle w:val="12"/>
            </w:pPr>
            <w:r>
              <w:t>职称评审工作经费</w:t>
            </w:r>
          </w:p>
        </w:tc>
        <w:tc>
          <w:tcPr>
            <w:tcW w:w="2551" w:type="dxa"/>
            <w:vAlign w:val="center"/>
          </w:tcPr>
          <w:p>
            <w:pPr>
              <w:pStyle w:val="12"/>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确保群众获得优质高效的法律援助服务</w:t>
            </w:r>
          </w:p>
        </w:tc>
        <w:tc>
          <w:tcPr>
            <w:tcW w:w="3430" w:type="dxa"/>
            <w:vAlign w:val="center"/>
          </w:tcPr>
          <w:p>
            <w:pPr>
              <w:pStyle w:val="12"/>
            </w:pPr>
            <w:r>
              <w:t>确保群众获得优质高效的法律援助服务</w:t>
            </w:r>
          </w:p>
        </w:tc>
        <w:tc>
          <w:tcPr>
            <w:tcW w:w="2551" w:type="dxa"/>
            <w:vAlign w:val="center"/>
          </w:tcPr>
          <w:p>
            <w:pPr>
              <w:pStyle w:val="12"/>
            </w:pPr>
            <w:r>
              <w:t>提升法律援助案件质量，群众获得优质高效的法律援助服务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推动司法鉴定行业规范化建设</w:t>
            </w:r>
          </w:p>
        </w:tc>
        <w:tc>
          <w:tcPr>
            <w:tcW w:w="3430" w:type="dxa"/>
            <w:vAlign w:val="center"/>
          </w:tcPr>
          <w:p>
            <w:pPr>
              <w:pStyle w:val="12"/>
            </w:pPr>
            <w:r>
              <w:t>推动司法鉴定行业规范化建设</w:t>
            </w:r>
          </w:p>
        </w:tc>
        <w:tc>
          <w:tcPr>
            <w:tcW w:w="2551" w:type="dxa"/>
            <w:vAlign w:val="center"/>
          </w:tcPr>
          <w:p>
            <w:pPr>
              <w:pStyle w:val="12"/>
            </w:pPr>
            <w:r>
              <w:t>依照机构申请依法依规开展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扩大法律援助宣传覆盖面</w:t>
            </w:r>
          </w:p>
        </w:tc>
        <w:tc>
          <w:tcPr>
            <w:tcW w:w="3430" w:type="dxa"/>
            <w:vAlign w:val="center"/>
          </w:tcPr>
          <w:p>
            <w:pPr>
              <w:pStyle w:val="12"/>
            </w:pPr>
            <w:r>
              <w:t>扩大法律援助宣传覆盖面</w:t>
            </w:r>
          </w:p>
        </w:tc>
        <w:tc>
          <w:tcPr>
            <w:tcW w:w="2551" w:type="dxa"/>
            <w:vAlign w:val="center"/>
          </w:tcPr>
          <w:p>
            <w:pPr>
              <w:pStyle w:val="12"/>
            </w:pPr>
            <w:r>
              <w:t>提升人民群众知晓率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司法鉴定案件</w:t>
            </w:r>
          </w:p>
        </w:tc>
        <w:tc>
          <w:tcPr>
            <w:tcW w:w="3430" w:type="dxa"/>
            <w:vAlign w:val="center"/>
          </w:tcPr>
          <w:p>
            <w:pPr>
              <w:pStyle w:val="12"/>
            </w:pPr>
            <w:r>
              <w:t>司法鉴定案件</w:t>
            </w:r>
          </w:p>
        </w:tc>
        <w:tc>
          <w:tcPr>
            <w:tcW w:w="2551" w:type="dxa"/>
            <w:vAlign w:val="center"/>
          </w:tcPr>
          <w:p>
            <w:pPr>
              <w:pStyle w:val="12"/>
            </w:pPr>
            <w:r>
              <w:t>依法依规处理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考试目标</w:t>
            </w:r>
          </w:p>
        </w:tc>
        <w:tc>
          <w:tcPr>
            <w:tcW w:w="3430" w:type="dxa"/>
            <w:vAlign w:val="center"/>
          </w:tcPr>
          <w:p>
            <w:pPr>
              <w:pStyle w:val="12"/>
            </w:pPr>
            <w:r>
              <w:t>考试目标</w:t>
            </w:r>
          </w:p>
        </w:tc>
        <w:tc>
          <w:tcPr>
            <w:tcW w:w="2551" w:type="dxa"/>
            <w:vAlign w:val="center"/>
          </w:tcPr>
          <w:p>
            <w:pPr>
              <w:pStyle w:val="12"/>
            </w:pPr>
            <w:r>
              <w:t>提升准入质量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涉法涉诉信访案件年受益人数</w:t>
            </w:r>
          </w:p>
        </w:tc>
        <w:tc>
          <w:tcPr>
            <w:tcW w:w="3430" w:type="dxa"/>
            <w:vAlign w:val="center"/>
          </w:tcPr>
          <w:p>
            <w:pPr>
              <w:pStyle w:val="12"/>
            </w:pPr>
            <w:r>
              <w:t>涉法涉诉信访案件年受益人数</w:t>
            </w:r>
          </w:p>
        </w:tc>
        <w:tc>
          <w:tcPr>
            <w:tcW w:w="2551" w:type="dxa"/>
            <w:vAlign w:val="center"/>
          </w:tcPr>
          <w:p>
            <w:pPr>
              <w:pStyle w:val="12"/>
            </w:pPr>
            <w:r>
              <w:t>≥2000人次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被评审人员满意度</w:t>
            </w:r>
          </w:p>
        </w:tc>
        <w:tc>
          <w:tcPr>
            <w:tcW w:w="3430" w:type="dxa"/>
            <w:vAlign w:val="center"/>
          </w:tcPr>
          <w:p>
            <w:pPr>
              <w:pStyle w:val="12"/>
            </w:pPr>
            <w:r>
              <w:t>被评审人员满意度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司法鉴定机构满意度</w:t>
            </w:r>
          </w:p>
        </w:tc>
        <w:tc>
          <w:tcPr>
            <w:tcW w:w="3430" w:type="dxa"/>
            <w:vAlign w:val="center"/>
          </w:tcPr>
          <w:p>
            <w:pPr>
              <w:pStyle w:val="12"/>
            </w:pPr>
            <w:r>
              <w:t>司法鉴定机构满意度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案件质量评估合格率</w:t>
            </w:r>
          </w:p>
        </w:tc>
        <w:tc>
          <w:tcPr>
            <w:tcW w:w="3430" w:type="dxa"/>
            <w:vAlign w:val="center"/>
          </w:tcPr>
          <w:p>
            <w:pPr>
              <w:pStyle w:val="12"/>
            </w:pPr>
            <w:r>
              <w:t>案件质量评估合格率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对宣传品质量的满意度</w:t>
            </w:r>
          </w:p>
        </w:tc>
        <w:tc>
          <w:tcPr>
            <w:tcW w:w="3430" w:type="dxa"/>
            <w:vAlign w:val="center"/>
          </w:tcPr>
          <w:p>
            <w:pPr>
              <w:pStyle w:val="12"/>
            </w:pPr>
            <w:r>
              <w:t>对宣传品质量的满意度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考务服务满意度</w:t>
            </w:r>
          </w:p>
        </w:tc>
        <w:tc>
          <w:tcPr>
            <w:tcW w:w="3430" w:type="dxa"/>
            <w:vAlign w:val="center"/>
          </w:tcPr>
          <w:p>
            <w:pPr>
              <w:pStyle w:val="12"/>
            </w:pPr>
            <w:r>
              <w:t>考务服务满意度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当事人满意度</w:t>
            </w:r>
          </w:p>
        </w:tc>
        <w:tc>
          <w:tcPr>
            <w:tcW w:w="3430" w:type="dxa"/>
            <w:vAlign w:val="center"/>
          </w:tcPr>
          <w:p>
            <w:pPr>
              <w:pStyle w:val="12"/>
            </w:pPr>
            <w:r>
              <w:t>当事人满意度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7.平安天津项目绩效目标表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平安天津项目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w:t>
            </w:r>
          </w:p>
        </w:tc>
        <w:tc>
          <w:tcPr>
            <w:tcW w:w="1587" w:type="dxa"/>
            <w:vAlign w:val="center"/>
          </w:tcPr>
          <w:p>
            <w:pPr>
              <w:pStyle w:val="13"/>
            </w:pPr>
            <w:r>
              <w:t>其中：财政    资金</w:t>
            </w:r>
          </w:p>
        </w:tc>
        <w:tc>
          <w:tcPr>
            <w:tcW w:w="1843" w:type="dxa"/>
            <w:vAlign w:val="center"/>
          </w:tcPr>
          <w:p>
            <w:pPr>
              <w:pStyle w:val="12"/>
            </w:pPr>
            <w:r>
              <w:t>11.00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平安天津建设经费。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1.加大社区矫正工作宣传力度，展示提升社区矫正工作成效。</w:t>
            </w:r>
          </w:p>
          <w:p>
            <w:pPr>
              <w:pStyle w:val="12"/>
            </w:pPr>
            <w:r>
              <w:t>2.精准排查整改安全生产隐患，切实巩固提高我系统安全生产水平。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社区矫正宣传视频</w:t>
            </w:r>
          </w:p>
        </w:tc>
        <w:tc>
          <w:tcPr>
            <w:tcW w:w="3430" w:type="dxa"/>
            <w:vAlign w:val="center"/>
          </w:tcPr>
          <w:p>
            <w:pPr>
              <w:pStyle w:val="12"/>
            </w:pPr>
            <w:r>
              <w:t>社区矫正宣传视频</w:t>
            </w:r>
          </w:p>
        </w:tc>
        <w:tc>
          <w:tcPr>
            <w:tcW w:w="2551" w:type="dxa"/>
            <w:vAlign w:val="center"/>
          </w:tcPr>
          <w:p>
            <w:pPr>
              <w:pStyle w:val="12"/>
            </w:pPr>
            <w:r>
              <w:t>≥5分钟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安全检查单位数量</w:t>
            </w:r>
          </w:p>
        </w:tc>
        <w:tc>
          <w:tcPr>
            <w:tcW w:w="3430" w:type="dxa"/>
            <w:vAlign w:val="center"/>
          </w:tcPr>
          <w:p>
            <w:pPr>
              <w:pStyle w:val="12"/>
            </w:pPr>
            <w:r>
              <w:t>安全检查单位数量</w:t>
            </w:r>
          </w:p>
        </w:tc>
        <w:tc>
          <w:tcPr>
            <w:tcW w:w="2551" w:type="dxa"/>
            <w:vAlign w:val="center"/>
          </w:tcPr>
          <w:p>
            <w:pPr>
              <w:pStyle w:val="12"/>
            </w:pPr>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宣传活动验收通过率</w:t>
            </w:r>
          </w:p>
        </w:tc>
        <w:tc>
          <w:tcPr>
            <w:tcW w:w="3430" w:type="dxa"/>
            <w:vAlign w:val="center"/>
          </w:tcPr>
          <w:p>
            <w:pPr>
              <w:pStyle w:val="12"/>
            </w:pPr>
            <w:r>
              <w:t>宣传活动验收通过率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监所安全生产覆盖率</w:t>
            </w:r>
          </w:p>
        </w:tc>
        <w:tc>
          <w:tcPr>
            <w:tcW w:w="3430" w:type="dxa"/>
            <w:vAlign w:val="center"/>
          </w:tcPr>
          <w:p>
            <w:pPr>
              <w:pStyle w:val="12"/>
            </w:pPr>
            <w:r>
              <w:t>监所安全生产覆盖率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安全检查</w:t>
            </w:r>
          </w:p>
        </w:tc>
        <w:tc>
          <w:tcPr>
            <w:tcW w:w="3430" w:type="dxa"/>
            <w:vAlign w:val="center"/>
          </w:tcPr>
          <w:p>
            <w:pPr>
              <w:pStyle w:val="12"/>
            </w:pPr>
            <w:r>
              <w:t>安全检查</w:t>
            </w:r>
          </w:p>
        </w:tc>
        <w:tc>
          <w:tcPr>
            <w:tcW w:w="2551" w:type="dxa"/>
            <w:vAlign w:val="center"/>
          </w:tcPr>
          <w:p>
            <w:pPr>
              <w:pStyle w:val="12"/>
            </w:pPr>
            <w:r>
              <w:t>每半年1次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3430" w:type="dxa"/>
            <w:vAlign w:val="center"/>
          </w:tcPr>
          <w:p>
            <w:pPr>
              <w:pStyle w:val="12"/>
            </w:pPr>
            <w:r>
              <w:t>经费支出</w:t>
            </w:r>
          </w:p>
        </w:tc>
        <w:tc>
          <w:tcPr>
            <w:tcW w:w="2551" w:type="dxa"/>
            <w:vAlign w:val="center"/>
          </w:tcPr>
          <w:p>
            <w:pPr>
              <w:pStyle w:val="12"/>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展示提升社区矫正工作成效</w:t>
            </w:r>
          </w:p>
        </w:tc>
        <w:tc>
          <w:tcPr>
            <w:tcW w:w="3430" w:type="dxa"/>
            <w:vAlign w:val="center"/>
          </w:tcPr>
          <w:p>
            <w:pPr>
              <w:pStyle w:val="12"/>
            </w:pPr>
            <w:r>
              <w:t>展示提升社区矫正工作成效</w:t>
            </w:r>
          </w:p>
        </w:tc>
        <w:tc>
          <w:tcPr>
            <w:tcW w:w="2551" w:type="dxa"/>
            <w:vAlign w:val="center"/>
          </w:tcPr>
          <w:p>
            <w:pPr>
              <w:pStyle w:val="12"/>
            </w:pPr>
            <w:r>
              <w:t>有效宣传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监所安全事故</w:t>
            </w:r>
          </w:p>
        </w:tc>
        <w:tc>
          <w:tcPr>
            <w:tcW w:w="3430" w:type="dxa"/>
            <w:vAlign w:val="center"/>
          </w:tcPr>
          <w:p>
            <w:pPr>
              <w:pStyle w:val="12"/>
            </w:pPr>
            <w:r>
              <w:t>监所安全事故</w:t>
            </w:r>
          </w:p>
        </w:tc>
        <w:tc>
          <w:tcPr>
            <w:tcW w:w="2551" w:type="dxa"/>
            <w:vAlign w:val="center"/>
          </w:tcPr>
          <w:p>
            <w:pPr>
              <w:pStyle w:val="12"/>
            </w:pPr>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各区社区矫正机构满意度</w:t>
            </w:r>
          </w:p>
        </w:tc>
        <w:tc>
          <w:tcPr>
            <w:tcW w:w="3430" w:type="dxa"/>
            <w:vAlign w:val="center"/>
          </w:tcPr>
          <w:p>
            <w:pPr>
              <w:pStyle w:val="12"/>
            </w:pPr>
            <w:r>
              <w:t>各区社区矫正机构满意度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8.普法依法治理项目绩效目标表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普法依法治理项目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261.90</w:t>
            </w:r>
          </w:p>
        </w:tc>
        <w:tc>
          <w:tcPr>
            <w:tcW w:w="1587" w:type="dxa"/>
            <w:vAlign w:val="center"/>
          </w:tcPr>
          <w:p>
            <w:pPr>
              <w:pStyle w:val="13"/>
            </w:pPr>
            <w:r>
              <w:t>其中：财政    资金</w:t>
            </w:r>
          </w:p>
        </w:tc>
        <w:tc>
          <w:tcPr>
            <w:tcW w:w="1843" w:type="dxa"/>
            <w:vAlign w:val="center"/>
          </w:tcPr>
          <w:p>
            <w:pPr>
              <w:pStyle w:val="12"/>
            </w:pPr>
            <w:r>
              <w:t>261.90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普法依法治理经费。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 推进普法责任制落实，加强重点对象学法用法，不断提高普法覆盖面和影响力，营造良好法治氛围。</w:t>
            </w:r>
          </w:p>
          <w:p>
            <w:pPr>
              <w:pStyle w:val="12"/>
            </w:pPr>
            <w:r>
              <w:t>2.宣传司法行政改革发展成果，总结推广司法行政工作经验，为司法行政工作可持续发展提供理论支持，展示天津司法行政工作良好形象。</w:t>
            </w:r>
          </w:p>
          <w:p>
            <w:pPr>
              <w:pStyle w:val="12"/>
            </w:pPr>
            <w:r>
              <w:t>3.提高人民陪审员、人民监督员履职能力和水平，为人民陪审员、人民监督员依法履职提供保障。</w:t>
            </w:r>
          </w:p>
          <w:p>
            <w:pPr>
              <w:pStyle w:val="12"/>
            </w:pPr>
            <w:r>
              <w:t>4.加强新闻宣传，运用官方网站、微博、微信等平台，通过海报、长图、短视频等形式，向社会宣传我市司法行政工作、讲好司法行政故事；加强网络舆情监测，稳妥应对处置各类网络舆情，切实维护网络意识形态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国家工作人员网上学习考试人数</w:t>
            </w:r>
          </w:p>
        </w:tc>
        <w:tc>
          <w:tcPr>
            <w:tcW w:w="3430" w:type="dxa"/>
            <w:vAlign w:val="center"/>
          </w:tcPr>
          <w:p>
            <w:pPr>
              <w:pStyle w:val="12"/>
            </w:pPr>
            <w:r>
              <w:t>国家工作人员网上学习考试人数</w:t>
            </w:r>
          </w:p>
        </w:tc>
        <w:tc>
          <w:tcPr>
            <w:tcW w:w="2551" w:type="dxa"/>
            <w:vAlign w:val="center"/>
          </w:tcPr>
          <w:p>
            <w:pPr>
              <w:pStyle w:val="12"/>
            </w:pPr>
            <w:r>
              <w:t>≥12万人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人民监督员人数</w:t>
            </w:r>
          </w:p>
        </w:tc>
        <w:tc>
          <w:tcPr>
            <w:tcW w:w="3430" w:type="dxa"/>
            <w:vAlign w:val="center"/>
          </w:tcPr>
          <w:p>
            <w:pPr>
              <w:pStyle w:val="12"/>
            </w:pPr>
            <w:r>
              <w:t>人民监督员人数</w:t>
            </w:r>
          </w:p>
        </w:tc>
        <w:tc>
          <w:tcPr>
            <w:tcW w:w="2551" w:type="dxa"/>
            <w:vAlign w:val="center"/>
          </w:tcPr>
          <w:p>
            <w:pPr>
              <w:pStyle w:val="12"/>
            </w:pPr>
            <w:r>
              <w:t>≥199人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《天津司法》印制数量</w:t>
            </w:r>
          </w:p>
        </w:tc>
        <w:tc>
          <w:tcPr>
            <w:tcW w:w="3430" w:type="dxa"/>
            <w:vAlign w:val="center"/>
          </w:tcPr>
          <w:p>
            <w:pPr>
              <w:pStyle w:val="12"/>
            </w:pPr>
            <w:r>
              <w:t>《天津司法》印制数量</w:t>
            </w:r>
          </w:p>
        </w:tc>
        <w:tc>
          <w:tcPr>
            <w:tcW w:w="2551" w:type="dxa"/>
            <w:vAlign w:val="center"/>
          </w:tcPr>
          <w:p>
            <w:pPr>
              <w:pStyle w:val="12"/>
            </w:pPr>
            <w:r>
              <w:t>≤5200册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发布信息</w:t>
            </w:r>
          </w:p>
        </w:tc>
        <w:tc>
          <w:tcPr>
            <w:tcW w:w="3430" w:type="dxa"/>
            <w:vAlign w:val="center"/>
          </w:tcPr>
          <w:p>
            <w:pPr>
              <w:pStyle w:val="12"/>
            </w:pPr>
            <w:r>
              <w:t>发布信息</w:t>
            </w:r>
          </w:p>
        </w:tc>
        <w:tc>
          <w:tcPr>
            <w:tcW w:w="2551" w:type="dxa"/>
            <w:vAlign w:val="center"/>
          </w:tcPr>
          <w:p>
            <w:pPr>
              <w:pStyle w:val="12"/>
            </w:pPr>
            <w:r>
              <w:t>≥2000条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舆情报告 </w:t>
            </w:r>
          </w:p>
        </w:tc>
        <w:tc>
          <w:tcPr>
            <w:tcW w:w="3430" w:type="dxa"/>
            <w:vAlign w:val="center"/>
          </w:tcPr>
          <w:p>
            <w:pPr>
              <w:pStyle w:val="12"/>
            </w:pPr>
            <w:r>
              <w:t xml:space="preserve">舆情报告 </w:t>
            </w:r>
          </w:p>
        </w:tc>
        <w:tc>
          <w:tcPr>
            <w:tcW w:w="2551" w:type="dxa"/>
            <w:vAlign w:val="center"/>
          </w:tcPr>
          <w:p>
            <w:pPr>
              <w:pStyle w:val="12"/>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运行监测报告 </w:t>
            </w:r>
          </w:p>
        </w:tc>
        <w:tc>
          <w:tcPr>
            <w:tcW w:w="3430" w:type="dxa"/>
            <w:vAlign w:val="center"/>
          </w:tcPr>
          <w:p>
            <w:pPr>
              <w:pStyle w:val="12"/>
            </w:pPr>
            <w:r>
              <w:t xml:space="preserve">运行监测报告 </w:t>
            </w:r>
          </w:p>
        </w:tc>
        <w:tc>
          <w:tcPr>
            <w:tcW w:w="2551" w:type="dxa"/>
            <w:vAlign w:val="center"/>
          </w:tcPr>
          <w:p>
            <w:pPr>
              <w:pStyle w:val="12"/>
            </w:pPr>
            <w:r>
              <w:t>≥12份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国家工作人员网上学习考试参考率</w:t>
            </w:r>
          </w:p>
        </w:tc>
        <w:tc>
          <w:tcPr>
            <w:tcW w:w="3430" w:type="dxa"/>
            <w:vAlign w:val="center"/>
          </w:tcPr>
          <w:p>
            <w:pPr>
              <w:pStyle w:val="12"/>
            </w:pPr>
            <w:r>
              <w:t>国家工作人员网上学习考试参考率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年度考核合格率</w:t>
            </w:r>
          </w:p>
        </w:tc>
        <w:tc>
          <w:tcPr>
            <w:tcW w:w="3430" w:type="dxa"/>
            <w:vAlign w:val="center"/>
          </w:tcPr>
          <w:p>
            <w:pPr>
              <w:pStyle w:val="12"/>
            </w:pPr>
            <w:r>
              <w:t>年度考核合格率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印刷质量</w:t>
            </w:r>
          </w:p>
        </w:tc>
        <w:tc>
          <w:tcPr>
            <w:tcW w:w="3430" w:type="dxa"/>
            <w:vAlign w:val="center"/>
          </w:tcPr>
          <w:p>
            <w:pPr>
              <w:pStyle w:val="12"/>
            </w:pPr>
            <w:r>
              <w:t>印刷质量</w:t>
            </w:r>
          </w:p>
        </w:tc>
        <w:tc>
          <w:tcPr>
            <w:tcW w:w="2551" w:type="dxa"/>
            <w:vAlign w:val="center"/>
          </w:tcPr>
          <w:p>
            <w:pPr>
              <w:pStyle w:val="12"/>
            </w:pPr>
            <w:r>
              <w:t>排版精美，印刷清晰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3430" w:type="dxa"/>
            <w:vAlign w:val="center"/>
          </w:tcPr>
          <w:p>
            <w:pPr>
              <w:pStyle w:val="12"/>
            </w:pPr>
            <w:r>
              <w:t>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结合12.4国家宪法日等重要节点，各类时间节点日期完成专项法治宣传</w:t>
            </w:r>
          </w:p>
        </w:tc>
        <w:tc>
          <w:tcPr>
            <w:tcW w:w="3430" w:type="dxa"/>
            <w:vAlign w:val="center"/>
          </w:tcPr>
          <w:p>
            <w:pPr>
              <w:pStyle w:val="12"/>
            </w:pPr>
            <w:r>
              <w:t>结合12.4国家宪法日等重要节点，各类时间节点日期完成专项法治宣传</w:t>
            </w:r>
          </w:p>
        </w:tc>
        <w:tc>
          <w:tcPr>
            <w:tcW w:w="2551" w:type="dxa"/>
            <w:vAlign w:val="center"/>
          </w:tcPr>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工作开展时间</w:t>
            </w:r>
          </w:p>
        </w:tc>
        <w:tc>
          <w:tcPr>
            <w:tcW w:w="3430" w:type="dxa"/>
            <w:vAlign w:val="center"/>
          </w:tcPr>
          <w:p>
            <w:pPr>
              <w:pStyle w:val="12"/>
            </w:pPr>
            <w:r>
              <w:t>工作开展时间</w:t>
            </w:r>
          </w:p>
        </w:tc>
        <w:tc>
          <w:tcPr>
            <w:tcW w:w="2551" w:type="dxa"/>
            <w:vAlign w:val="center"/>
          </w:tcPr>
          <w:p>
            <w:pPr>
              <w:pStyle w:val="12"/>
            </w:pPr>
            <w: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普法宣传经费</w:t>
            </w:r>
          </w:p>
        </w:tc>
        <w:tc>
          <w:tcPr>
            <w:tcW w:w="3430" w:type="dxa"/>
            <w:vAlign w:val="center"/>
          </w:tcPr>
          <w:p>
            <w:pPr>
              <w:pStyle w:val="12"/>
            </w:pPr>
            <w:r>
              <w:t>普法宣传经费</w:t>
            </w:r>
          </w:p>
        </w:tc>
        <w:tc>
          <w:tcPr>
            <w:tcW w:w="2551" w:type="dxa"/>
            <w:vAlign w:val="center"/>
          </w:tcPr>
          <w:p>
            <w:pPr>
              <w:pStyle w:val="12"/>
            </w:pPr>
            <w:r>
              <w:t>≤108万元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人民监督员、人民陪审员专项工作经费 </w:t>
            </w:r>
          </w:p>
        </w:tc>
        <w:tc>
          <w:tcPr>
            <w:tcW w:w="3430" w:type="dxa"/>
            <w:vAlign w:val="center"/>
          </w:tcPr>
          <w:p>
            <w:pPr>
              <w:pStyle w:val="12"/>
            </w:pPr>
            <w:r>
              <w:t xml:space="preserve">人民监督员、人民陪审员专项工作经费 </w:t>
            </w:r>
          </w:p>
        </w:tc>
        <w:tc>
          <w:tcPr>
            <w:tcW w:w="2551" w:type="dxa"/>
            <w:vAlign w:val="center"/>
          </w:tcPr>
          <w:p>
            <w:pPr>
              <w:pStyle w:val="12"/>
            </w:pPr>
            <w:r>
              <w:t>≤51.4万元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履职补助发放标准</w:t>
            </w:r>
          </w:p>
        </w:tc>
        <w:tc>
          <w:tcPr>
            <w:tcW w:w="3430" w:type="dxa"/>
            <w:vAlign w:val="center"/>
          </w:tcPr>
          <w:p>
            <w:pPr>
              <w:pStyle w:val="12"/>
            </w:pPr>
            <w:r>
              <w:t>履职补助发放标准</w:t>
            </w:r>
          </w:p>
        </w:tc>
        <w:tc>
          <w:tcPr>
            <w:tcW w:w="2551" w:type="dxa"/>
            <w:vAlign w:val="center"/>
          </w:tcPr>
          <w:p>
            <w:pPr>
              <w:pStyle w:val="12"/>
            </w:pPr>
            <w:r>
              <w:t>≤500元/人次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培训补助发放标准</w:t>
            </w:r>
          </w:p>
        </w:tc>
        <w:tc>
          <w:tcPr>
            <w:tcW w:w="3430" w:type="dxa"/>
            <w:vAlign w:val="center"/>
          </w:tcPr>
          <w:p>
            <w:pPr>
              <w:pStyle w:val="12"/>
            </w:pPr>
            <w:r>
              <w:t>培训补助发放标准</w:t>
            </w:r>
          </w:p>
        </w:tc>
        <w:tc>
          <w:tcPr>
            <w:tcW w:w="2551" w:type="dxa"/>
            <w:vAlign w:val="center"/>
          </w:tcPr>
          <w:p>
            <w:pPr>
              <w:pStyle w:val="12"/>
            </w:pPr>
            <w:r>
              <w:t>200元/半天/人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杂志单价</w:t>
            </w:r>
          </w:p>
        </w:tc>
        <w:tc>
          <w:tcPr>
            <w:tcW w:w="3430" w:type="dxa"/>
            <w:vAlign w:val="center"/>
          </w:tcPr>
          <w:p>
            <w:pPr>
              <w:pStyle w:val="12"/>
            </w:pPr>
            <w:r>
              <w:t>杂志单价</w:t>
            </w:r>
          </w:p>
        </w:tc>
        <w:tc>
          <w:tcPr>
            <w:tcW w:w="2551" w:type="dxa"/>
            <w:vAlign w:val="center"/>
          </w:tcPr>
          <w:p>
            <w:pPr>
              <w:pStyle w:val="12"/>
            </w:pPr>
            <w:r>
              <w:t>360元/份/年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新闻媒体支持经费</w:t>
            </w:r>
          </w:p>
        </w:tc>
        <w:tc>
          <w:tcPr>
            <w:tcW w:w="3430" w:type="dxa"/>
            <w:vAlign w:val="center"/>
          </w:tcPr>
          <w:p>
            <w:pPr>
              <w:pStyle w:val="12"/>
            </w:pPr>
            <w:r>
              <w:t>新闻媒体支持经费</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普法依法治理其他经费</w:t>
            </w:r>
          </w:p>
        </w:tc>
        <w:tc>
          <w:tcPr>
            <w:tcW w:w="3430" w:type="dxa"/>
            <w:vAlign w:val="center"/>
          </w:tcPr>
          <w:p>
            <w:pPr>
              <w:pStyle w:val="12"/>
            </w:pPr>
            <w:r>
              <w:t>普法依法治理其他经费</w:t>
            </w:r>
          </w:p>
        </w:tc>
        <w:tc>
          <w:tcPr>
            <w:tcW w:w="2551" w:type="dxa"/>
            <w:vAlign w:val="center"/>
          </w:tcPr>
          <w:p>
            <w:pPr>
              <w:pStyle w:val="1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宣传效果</w:t>
            </w:r>
          </w:p>
        </w:tc>
        <w:tc>
          <w:tcPr>
            <w:tcW w:w="3430" w:type="dxa"/>
            <w:vAlign w:val="center"/>
          </w:tcPr>
          <w:p>
            <w:pPr>
              <w:pStyle w:val="12"/>
            </w:pPr>
            <w:r>
              <w:t>宣传效果</w:t>
            </w:r>
          </w:p>
        </w:tc>
        <w:tc>
          <w:tcPr>
            <w:tcW w:w="2551" w:type="dxa"/>
            <w:vAlign w:val="center"/>
          </w:tcPr>
          <w:p>
            <w:pPr>
              <w:pStyle w:val="12"/>
            </w:pPr>
            <w:r>
              <w:t>提高法治宣传教育效果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为人民监督员依法履职提供保障</w:t>
            </w:r>
          </w:p>
        </w:tc>
        <w:tc>
          <w:tcPr>
            <w:tcW w:w="3430" w:type="dxa"/>
            <w:vAlign w:val="center"/>
          </w:tcPr>
          <w:p>
            <w:pPr>
              <w:pStyle w:val="12"/>
            </w:pPr>
            <w:r>
              <w:t>为人民监督员依法履职提供保障</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宣传司法行政工作</w:t>
            </w:r>
          </w:p>
        </w:tc>
        <w:tc>
          <w:tcPr>
            <w:tcW w:w="3430" w:type="dxa"/>
            <w:vAlign w:val="center"/>
          </w:tcPr>
          <w:p>
            <w:pPr>
              <w:pStyle w:val="12"/>
            </w:pPr>
            <w:r>
              <w:t>宣传司法行政工作</w:t>
            </w:r>
          </w:p>
        </w:tc>
        <w:tc>
          <w:tcPr>
            <w:tcW w:w="2551" w:type="dxa"/>
            <w:vAlign w:val="center"/>
          </w:tcPr>
          <w:p>
            <w:pPr>
              <w:pStyle w:val="12"/>
            </w:pPr>
            <w:r>
              <w:t>有效宣传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提高普法的覆盖面和影响力</w:t>
            </w:r>
          </w:p>
        </w:tc>
        <w:tc>
          <w:tcPr>
            <w:tcW w:w="3430" w:type="dxa"/>
            <w:vAlign w:val="center"/>
          </w:tcPr>
          <w:p>
            <w:pPr>
              <w:pStyle w:val="12"/>
            </w:pPr>
            <w:r>
              <w:t>提高普法的覆盖面和影响力</w:t>
            </w:r>
          </w:p>
        </w:tc>
        <w:tc>
          <w:tcPr>
            <w:tcW w:w="2551" w:type="dxa"/>
            <w:vAlign w:val="center"/>
          </w:tcPr>
          <w:p>
            <w:pPr>
              <w:pStyle w:val="12"/>
            </w:pPr>
            <w:r>
              <w:t>不断提升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人民监督员履职情况通报满意度</w:t>
            </w:r>
          </w:p>
        </w:tc>
        <w:tc>
          <w:tcPr>
            <w:tcW w:w="3430" w:type="dxa"/>
            <w:vAlign w:val="center"/>
          </w:tcPr>
          <w:p>
            <w:pPr>
              <w:pStyle w:val="12"/>
            </w:pPr>
            <w:r>
              <w:t>人民监督员履职情况通报满意度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9.深入推进公共法律服务便民化-2025中央绩效目标表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深入推进公共法律服务便民化-2025中央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深入推进公共法律服务便民化经费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1.为群众提供7*24小时法律咨询及法律服务指引等公共法律服务，满足群众日益增长的公共法律服务需求。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12348热线接通量</w:t>
            </w:r>
          </w:p>
        </w:tc>
        <w:tc>
          <w:tcPr>
            <w:tcW w:w="3430" w:type="dxa"/>
            <w:vAlign w:val="center"/>
          </w:tcPr>
          <w:p>
            <w:pPr>
              <w:pStyle w:val="12"/>
            </w:pPr>
            <w:r>
              <w:t>12348热线接通量</w:t>
            </w:r>
          </w:p>
        </w:tc>
        <w:tc>
          <w:tcPr>
            <w:tcW w:w="2551" w:type="dxa"/>
            <w:vAlign w:val="center"/>
          </w:tcPr>
          <w:p>
            <w:pPr>
              <w:pStyle w:val="12"/>
            </w:pPr>
            <w:r>
              <w:t>≥45万通/年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市公共法律服务中心接待人次</w:t>
            </w:r>
          </w:p>
        </w:tc>
        <w:tc>
          <w:tcPr>
            <w:tcW w:w="3430" w:type="dxa"/>
            <w:vAlign w:val="center"/>
          </w:tcPr>
          <w:p>
            <w:pPr>
              <w:pStyle w:val="12"/>
            </w:pPr>
            <w:r>
              <w:t>市公共法律服务中心接待人次</w:t>
            </w:r>
          </w:p>
        </w:tc>
        <w:tc>
          <w:tcPr>
            <w:tcW w:w="2551" w:type="dxa"/>
            <w:vAlign w:val="center"/>
          </w:tcPr>
          <w:p>
            <w:pPr>
              <w:pStyle w:val="12"/>
            </w:pPr>
            <w:r>
              <w:t>≥1500人次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法律咨询答复率</w:t>
            </w:r>
          </w:p>
        </w:tc>
        <w:tc>
          <w:tcPr>
            <w:tcW w:w="3430" w:type="dxa"/>
            <w:vAlign w:val="center"/>
          </w:tcPr>
          <w:p>
            <w:pPr>
              <w:pStyle w:val="12"/>
            </w:pPr>
            <w:r>
              <w:t>法律咨询答复率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工单完成率</w:t>
            </w:r>
          </w:p>
        </w:tc>
        <w:tc>
          <w:tcPr>
            <w:tcW w:w="3430" w:type="dxa"/>
            <w:vAlign w:val="center"/>
          </w:tcPr>
          <w:p>
            <w:pPr>
              <w:pStyle w:val="12"/>
            </w:pPr>
            <w:r>
              <w:t>工单完成率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网络平台回复率</w:t>
            </w:r>
          </w:p>
        </w:tc>
        <w:tc>
          <w:tcPr>
            <w:tcW w:w="3430" w:type="dxa"/>
            <w:vAlign w:val="center"/>
          </w:tcPr>
          <w:p>
            <w:pPr>
              <w:pStyle w:val="12"/>
            </w:pPr>
            <w:r>
              <w:t>网络平台回复率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不满意回访率</w:t>
            </w:r>
          </w:p>
        </w:tc>
        <w:tc>
          <w:tcPr>
            <w:tcW w:w="3430" w:type="dxa"/>
            <w:vAlign w:val="center"/>
          </w:tcPr>
          <w:p>
            <w:pPr>
              <w:pStyle w:val="12"/>
            </w:pPr>
            <w:r>
              <w:t>不满意回访率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服务时限</w:t>
            </w:r>
          </w:p>
        </w:tc>
        <w:tc>
          <w:tcPr>
            <w:tcW w:w="3430" w:type="dxa"/>
            <w:vAlign w:val="center"/>
          </w:tcPr>
          <w:p>
            <w:pPr>
              <w:pStyle w:val="12"/>
            </w:pPr>
            <w:r>
              <w:t>服务时限</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法网留言办理时限</w:t>
            </w:r>
          </w:p>
        </w:tc>
        <w:tc>
          <w:tcPr>
            <w:tcW w:w="3430" w:type="dxa"/>
            <w:vAlign w:val="center"/>
          </w:tcPr>
          <w:p>
            <w:pPr>
              <w:pStyle w:val="12"/>
            </w:pPr>
            <w:r>
              <w:t>法网留言办理时限</w:t>
            </w:r>
          </w:p>
        </w:tc>
        <w:tc>
          <w:tcPr>
            <w:tcW w:w="2551" w:type="dxa"/>
            <w:vAlign w:val="center"/>
          </w:tcPr>
          <w:p>
            <w:pPr>
              <w:pStyle w:val="12"/>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深入推进公共法律服务便民化项目</w:t>
            </w:r>
          </w:p>
        </w:tc>
        <w:tc>
          <w:tcPr>
            <w:tcW w:w="3430" w:type="dxa"/>
            <w:vAlign w:val="center"/>
          </w:tcPr>
          <w:p>
            <w:pPr>
              <w:pStyle w:val="12"/>
            </w:pPr>
            <w:r>
              <w:t>深入推进公共法律服务便民化项目</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公共法律服务人员成本</w:t>
            </w:r>
          </w:p>
        </w:tc>
        <w:tc>
          <w:tcPr>
            <w:tcW w:w="3430" w:type="dxa"/>
            <w:vAlign w:val="center"/>
          </w:tcPr>
          <w:p>
            <w:pPr>
              <w:pStyle w:val="12"/>
            </w:pPr>
            <w:r>
              <w:t>公共法律服务人员成本</w:t>
            </w:r>
          </w:p>
        </w:tc>
        <w:tc>
          <w:tcPr>
            <w:tcW w:w="2551" w:type="dxa"/>
            <w:vAlign w:val="center"/>
          </w:tcPr>
          <w:p>
            <w:pPr>
              <w:pStyle w:val="12"/>
            </w:pPr>
            <w:r>
              <w:t>≤65元/小时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提升为民服务水平，促进社会公平正义</w:t>
            </w:r>
          </w:p>
        </w:tc>
        <w:tc>
          <w:tcPr>
            <w:tcW w:w="3430" w:type="dxa"/>
            <w:vAlign w:val="center"/>
          </w:tcPr>
          <w:p>
            <w:pPr>
              <w:pStyle w:val="12"/>
            </w:pPr>
            <w:r>
              <w:t>提升为民服务水平，促进社会公平正义</w:t>
            </w:r>
          </w:p>
        </w:tc>
        <w:tc>
          <w:tcPr>
            <w:tcW w:w="2551" w:type="dxa"/>
            <w:vAlign w:val="center"/>
          </w:tcPr>
          <w:p>
            <w:pPr>
              <w:pStyle w:val="12"/>
            </w:pPr>
            <w:r>
              <w:t>减少社会矛盾，提升群众法治理念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10.深入推进公共法律服务便民化支持经费绩效目标表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深入推进公共法律服务便民化支持经费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10.20</w:t>
            </w:r>
          </w:p>
        </w:tc>
        <w:tc>
          <w:tcPr>
            <w:tcW w:w="1587" w:type="dxa"/>
            <w:vAlign w:val="center"/>
          </w:tcPr>
          <w:p>
            <w:pPr>
              <w:pStyle w:val="13"/>
            </w:pPr>
            <w:r>
              <w:t>其中：财政    资金</w:t>
            </w:r>
          </w:p>
        </w:tc>
        <w:tc>
          <w:tcPr>
            <w:tcW w:w="1843" w:type="dxa"/>
            <w:vAlign w:val="center"/>
          </w:tcPr>
          <w:p>
            <w:pPr>
              <w:pStyle w:val="12"/>
            </w:pPr>
            <w:r>
              <w:t>10.20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深入推进公共法律服务便民化支持经费。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1.为12348公共法律服务热线提供数据业务线路支持，保障12348热线的正常运转，保障热线服务数据及时上传、互联互通，为群众提供7*24小时的法律咨询服务。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30B+D数字中继线</w:t>
            </w:r>
          </w:p>
        </w:tc>
        <w:tc>
          <w:tcPr>
            <w:tcW w:w="3430" w:type="dxa"/>
            <w:vAlign w:val="center"/>
          </w:tcPr>
          <w:p>
            <w:pPr>
              <w:pStyle w:val="12"/>
            </w:pPr>
            <w:r>
              <w:t>30B+D数字中继线</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共享互联网专线 </w:t>
            </w:r>
          </w:p>
        </w:tc>
        <w:tc>
          <w:tcPr>
            <w:tcW w:w="3430" w:type="dxa"/>
            <w:vAlign w:val="center"/>
          </w:tcPr>
          <w:p>
            <w:pPr>
              <w:pStyle w:val="12"/>
            </w:pPr>
            <w:r>
              <w:t xml:space="preserve">共享互联网专线 </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线路质量</w:t>
            </w:r>
          </w:p>
        </w:tc>
        <w:tc>
          <w:tcPr>
            <w:tcW w:w="3430" w:type="dxa"/>
            <w:vAlign w:val="center"/>
          </w:tcPr>
          <w:p>
            <w:pPr>
              <w:pStyle w:val="12"/>
            </w:pPr>
            <w:r>
              <w:t>线路质量</w:t>
            </w:r>
          </w:p>
        </w:tc>
        <w:tc>
          <w:tcPr>
            <w:tcW w:w="2551" w:type="dxa"/>
            <w:vAlign w:val="center"/>
          </w:tcPr>
          <w:p>
            <w:pPr>
              <w:pStyle w:val="12"/>
            </w:pPr>
            <w:r>
              <w:t>线路通畅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服务时限</w:t>
            </w:r>
          </w:p>
        </w:tc>
        <w:tc>
          <w:tcPr>
            <w:tcW w:w="3430" w:type="dxa"/>
            <w:vAlign w:val="center"/>
          </w:tcPr>
          <w:p>
            <w:pPr>
              <w:pStyle w:val="12"/>
            </w:pPr>
            <w:r>
              <w:t>服务时限</w:t>
            </w:r>
          </w:p>
        </w:tc>
        <w:tc>
          <w:tcPr>
            <w:tcW w:w="2551" w:type="dxa"/>
            <w:vAlign w:val="center"/>
          </w:tcPr>
          <w:p>
            <w:pPr>
              <w:pStyle w:val="12"/>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30B+D数字中继线2根线路月租费</w:t>
            </w:r>
          </w:p>
        </w:tc>
        <w:tc>
          <w:tcPr>
            <w:tcW w:w="3430" w:type="dxa"/>
            <w:vAlign w:val="center"/>
          </w:tcPr>
          <w:p>
            <w:pPr>
              <w:pStyle w:val="12"/>
            </w:pPr>
            <w:r>
              <w:t>30B+D数字中继线2根线路月租费</w:t>
            </w:r>
          </w:p>
        </w:tc>
        <w:tc>
          <w:tcPr>
            <w:tcW w:w="2551" w:type="dxa"/>
            <w:vAlign w:val="center"/>
          </w:tcPr>
          <w:p>
            <w:pPr>
              <w:pStyle w:val="1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共享互联网专线费月租金</w:t>
            </w:r>
          </w:p>
        </w:tc>
        <w:tc>
          <w:tcPr>
            <w:tcW w:w="3430" w:type="dxa"/>
            <w:vAlign w:val="center"/>
          </w:tcPr>
          <w:p>
            <w:pPr>
              <w:pStyle w:val="12"/>
            </w:pPr>
            <w:r>
              <w:t>共享互联网专线费月租金</w:t>
            </w:r>
          </w:p>
        </w:tc>
        <w:tc>
          <w:tcPr>
            <w:tcW w:w="2551" w:type="dxa"/>
            <w:vAlign w:val="center"/>
          </w:tcPr>
          <w:p>
            <w:pPr>
              <w:pStyle w:val="12"/>
            </w:pPr>
            <w:r>
              <w:t>≤0.25万元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确保线路网络通畅</w:t>
            </w:r>
          </w:p>
        </w:tc>
        <w:tc>
          <w:tcPr>
            <w:tcW w:w="3430" w:type="dxa"/>
            <w:vAlign w:val="center"/>
          </w:tcPr>
          <w:p>
            <w:pPr>
              <w:pStyle w:val="12"/>
            </w:pPr>
            <w:r>
              <w:t>确保线路网络通畅</w:t>
            </w:r>
          </w:p>
        </w:tc>
        <w:tc>
          <w:tcPr>
            <w:tcW w:w="2551" w:type="dxa"/>
            <w:vAlign w:val="center"/>
          </w:tcPr>
          <w:p>
            <w:pPr>
              <w:pStyle w:val="12"/>
            </w:pPr>
            <w:r>
              <w:t>保障热线坐席数据线路正常通讯、及时为群众提供法律咨询服务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11.天津市全面依法治市工作绩效目标表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天津市全面依法治市工作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25.30</w:t>
            </w:r>
          </w:p>
        </w:tc>
        <w:tc>
          <w:tcPr>
            <w:tcW w:w="1587" w:type="dxa"/>
            <w:vAlign w:val="center"/>
          </w:tcPr>
          <w:p>
            <w:pPr>
              <w:pStyle w:val="13"/>
            </w:pPr>
            <w:r>
              <w:t>其中：财政    资金</w:t>
            </w:r>
          </w:p>
        </w:tc>
        <w:tc>
          <w:tcPr>
            <w:tcW w:w="1843" w:type="dxa"/>
            <w:vAlign w:val="center"/>
          </w:tcPr>
          <w:p>
            <w:pPr>
              <w:pStyle w:val="12"/>
            </w:pPr>
            <w:r>
              <w:t>25.30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全面依法治市工作经费。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启动天津市法治建设“一规划两纲要”（2026-2030年）调研起草工作，完成“一规划两纲要”初稿，为我市依法治市工作奠定基础。印刷学习贯彻习近平法治思想论坛获奖论文合集，汇总展示我市学习贯彻习近平法治思想研究成果。</w:t>
            </w:r>
          </w:p>
          <w:p>
            <w:pPr>
              <w:pStyle w:val="12"/>
            </w:pPr>
            <w:r>
              <w:t>2.完成2025年度天津市法治政府建设优秀案例评审工作，切实发挥优秀案例引领示范作用。</w:t>
            </w:r>
          </w:p>
          <w:p>
            <w:pPr>
              <w:pStyle w:val="12"/>
            </w:pPr>
            <w:r>
              <w:t>3.以法治督察推动中央和市委市政府重点工作落实，检查工作实效、发现存在问题，了解掌握我市法治建设整体水平。充分发挥行政执法“典型差案”的评查作用和“示范优案”的引领作用，持续规范优化行政执法能力，为高质量发展赋能。</w:t>
            </w:r>
          </w:p>
          <w:p>
            <w:pPr>
              <w:pStyle w:val="12"/>
            </w:pPr>
            <w:r>
              <w:t>4.通过召开会议和开展培训，加强京津冀三地依法治省（市）办秘书处业务沟通交流和切实提升广大干警政治素养和业务能力。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起草法治建设文件</w:t>
            </w:r>
          </w:p>
        </w:tc>
        <w:tc>
          <w:tcPr>
            <w:tcW w:w="3430" w:type="dxa"/>
            <w:vAlign w:val="center"/>
          </w:tcPr>
          <w:p>
            <w:pPr>
              <w:pStyle w:val="12"/>
            </w:pPr>
            <w:r>
              <w:t>起草法治建设文件</w:t>
            </w:r>
          </w:p>
        </w:tc>
        <w:tc>
          <w:tcPr>
            <w:tcW w:w="2551" w:type="dxa"/>
            <w:vAlign w:val="center"/>
          </w:tcPr>
          <w:p>
            <w:pPr>
              <w:pStyle w:val="12"/>
            </w:pPr>
            <w:r>
              <w:t>3件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印刷获奖论文合集数量</w:t>
            </w:r>
          </w:p>
        </w:tc>
        <w:tc>
          <w:tcPr>
            <w:tcW w:w="3430" w:type="dxa"/>
            <w:vAlign w:val="center"/>
          </w:tcPr>
          <w:p>
            <w:pPr>
              <w:pStyle w:val="12"/>
            </w:pPr>
            <w:r>
              <w:t>印刷获奖论文合集数量</w:t>
            </w:r>
          </w:p>
        </w:tc>
        <w:tc>
          <w:tcPr>
            <w:tcW w:w="2551" w:type="dxa"/>
            <w:vAlign w:val="center"/>
          </w:tcPr>
          <w:p>
            <w:pPr>
              <w:pStyle w:val="12"/>
            </w:pPr>
            <w:r>
              <w:t>≥400本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印刷汇编数量</w:t>
            </w:r>
          </w:p>
        </w:tc>
        <w:tc>
          <w:tcPr>
            <w:tcW w:w="3430" w:type="dxa"/>
            <w:vAlign w:val="center"/>
          </w:tcPr>
          <w:p>
            <w:pPr>
              <w:pStyle w:val="12"/>
            </w:pPr>
            <w:r>
              <w:t>印刷汇编数量</w:t>
            </w:r>
          </w:p>
        </w:tc>
        <w:tc>
          <w:tcPr>
            <w:tcW w:w="2551" w:type="dxa"/>
            <w:vAlign w:val="center"/>
          </w:tcPr>
          <w:p>
            <w:pPr>
              <w:pStyle w:val="12"/>
            </w:pPr>
            <w:r>
              <w:t>≥400本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评审次数</w:t>
            </w:r>
          </w:p>
        </w:tc>
        <w:tc>
          <w:tcPr>
            <w:tcW w:w="3430" w:type="dxa"/>
            <w:vAlign w:val="center"/>
          </w:tcPr>
          <w:p>
            <w:pPr>
              <w:pStyle w:val="12"/>
            </w:pPr>
            <w:r>
              <w:t>评审次数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被督察单位数量</w:t>
            </w:r>
          </w:p>
        </w:tc>
        <w:tc>
          <w:tcPr>
            <w:tcW w:w="3430" w:type="dxa"/>
            <w:vAlign w:val="center"/>
          </w:tcPr>
          <w:p>
            <w:pPr>
              <w:pStyle w:val="12"/>
            </w:pPr>
            <w:r>
              <w:t>被督察单位数量</w:t>
            </w:r>
          </w:p>
        </w:tc>
        <w:tc>
          <w:tcPr>
            <w:tcW w:w="2551" w:type="dxa"/>
            <w:vAlign w:val="center"/>
          </w:tcPr>
          <w:p>
            <w:pPr>
              <w:pStyle w:val="12"/>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参与评审案件数量</w:t>
            </w:r>
          </w:p>
        </w:tc>
        <w:tc>
          <w:tcPr>
            <w:tcW w:w="3430" w:type="dxa"/>
            <w:vAlign w:val="center"/>
          </w:tcPr>
          <w:p>
            <w:pPr>
              <w:pStyle w:val="12"/>
            </w:pPr>
            <w:r>
              <w:t>参与评审案件数量</w:t>
            </w:r>
          </w:p>
        </w:tc>
        <w:tc>
          <w:tcPr>
            <w:tcW w:w="2551" w:type="dxa"/>
            <w:vAlign w:val="center"/>
          </w:tcPr>
          <w:p>
            <w:pPr>
              <w:pStyle w:val="12"/>
            </w:pPr>
            <w:r>
              <w:t>≥1000件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召开座谈会场次</w:t>
            </w:r>
          </w:p>
        </w:tc>
        <w:tc>
          <w:tcPr>
            <w:tcW w:w="3430" w:type="dxa"/>
            <w:vAlign w:val="center"/>
          </w:tcPr>
          <w:p>
            <w:pPr>
              <w:pStyle w:val="12"/>
            </w:pPr>
            <w:r>
              <w:t>召开座谈会场次</w:t>
            </w:r>
          </w:p>
        </w:tc>
        <w:tc>
          <w:tcPr>
            <w:tcW w:w="2551" w:type="dxa"/>
            <w:vAlign w:val="center"/>
          </w:tcPr>
          <w:p>
            <w:pPr>
              <w:pStyle w:val="12"/>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培训班次</w:t>
            </w:r>
          </w:p>
        </w:tc>
        <w:tc>
          <w:tcPr>
            <w:tcW w:w="3430" w:type="dxa"/>
            <w:vAlign w:val="center"/>
          </w:tcPr>
          <w:p>
            <w:pPr>
              <w:pStyle w:val="12"/>
            </w:pPr>
            <w:r>
              <w:t>培训班次</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3430" w:type="dxa"/>
            <w:vAlign w:val="center"/>
          </w:tcPr>
          <w:p>
            <w:pPr>
              <w:pStyle w:val="12"/>
            </w:pPr>
            <w:r>
              <w:t>工作完成率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评审合格率</w:t>
            </w:r>
          </w:p>
        </w:tc>
        <w:tc>
          <w:tcPr>
            <w:tcW w:w="3430" w:type="dxa"/>
            <w:vAlign w:val="center"/>
          </w:tcPr>
          <w:p>
            <w:pPr>
              <w:pStyle w:val="12"/>
            </w:pPr>
            <w:r>
              <w:t xml:space="preserve"> 评审合格率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报告完成质量</w:t>
            </w:r>
          </w:p>
        </w:tc>
        <w:tc>
          <w:tcPr>
            <w:tcW w:w="3430" w:type="dxa"/>
            <w:vAlign w:val="center"/>
          </w:tcPr>
          <w:p>
            <w:pPr>
              <w:pStyle w:val="12"/>
            </w:pPr>
            <w:r>
              <w:t>报告完成质量</w:t>
            </w:r>
          </w:p>
        </w:tc>
        <w:tc>
          <w:tcPr>
            <w:tcW w:w="2551" w:type="dxa"/>
            <w:vAlign w:val="center"/>
          </w:tcPr>
          <w:p>
            <w:pPr>
              <w:pStyle w:val="12"/>
            </w:pPr>
            <w:r>
              <w:t>通过领导审议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学员参训率</w:t>
            </w:r>
          </w:p>
        </w:tc>
        <w:tc>
          <w:tcPr>
            <w:tcW w:w="3430" w:type="dxa"/>
            <w:vAlign w:val="center"/>
          </w:tcPr>
          <w:p>
            <w:pPr>
              <w:pStyle w:val="12"/>
            </w:pPr>
            <w:r>
              <w:t>学员参训率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初稿完成时间</w:t>
            </w:r>
          </w:p>
        </w:tc>
        <w:tc>
          <w:tcPr>
            <w:tcW w:w="3430" w:type="dxa"/>
            <w:vAlign w:val="center"/>
          </w:tcPr>
          <w:p>
            <w:pPr>
              <w:pStyle w:val="12"/>
            </w:pPr>
            <w:r>
              <w:t>初稿完成时间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论文集印刷完成时间</w:t>
            </w:r>
          </w:p>
        </w:tc>
        <w:tc>
          <w:tcPr>
            <w:tcW w:w="3430" w:type="dxa"/>
            <w:vAlign w:val="center"/>
          </w:tcPr>
          <w:p>
            <w:pPr>
              <w:pStyle w:val="12"/>
            </w:pPr>
            <w:r>
              <w:t xml:space="preserve"> 论文集印刷完成时间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评审完成时间</w:t>
            </w:r>
          </w:p>
        </w:tc>
        <w:tc>
          <w:tcPr>
            <w:tcW w:w="3430" w:type="dxa"/>
            <w:vAlign w:val="center"/>
          </w:tcPr>
          <w:p>
            <w:pPr>
              <w:pStyle w:val="12"/>
            </w:pPr>
            <w:r>
              <w:t>评审完成时间</w:t>
            </w:r>
          </w:p>
        </w:tc>
        <w:tc>
          <w:tcPr>
            <w:tcW w:w="2551" w:type="dxa"/>
            <w:vAlign w:val="center"/>
          </w:tcPr>
          <w:p>
            <w:pPr>
              <w:pStyle w:val="12"/>
            </w:pPr>
            <w:r>
              <w:t>2025年9月底前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督查完成时间</w:t>
            </w:r>
          </w:p>
        </w:tc>
        <w:tc>
          <w:tcPr>
            <w:tcW w:w="3430" w:type="dxa"/>
            <w:vAlign w:val="center"/>
          </w:tcPr>
          <w:p>
            <w:pPr>
              <w:pStyle w:val="12"/>
            </w:pPr>
            <w:r>
              <w:t>督查完成时间</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培训完成时间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印刷成本</w:t>
            </w:r>
          </w:p>
        </w:tc>
        <w:tc>
          <w:tcPr>
            <w:tcW w:w="3430" w:type="dxa"/>
            <w:vAlign w:val="center"/>
          </w:tcPr>
          <w:p>
            <w:pPr>
              <w:pStyle w:val="12"/>
            </w:pPr>
            <w:r>
              <w:t>印刷成本</w:t>
            </w:r>
          </w:p>
        </w:tc>
        <w:tc>
          <w:tcPr>
            <w:tcW w:w="2551" w:type="dxa"/>
            <w:vAlign w:val="center"/>
          </w:tcPr>
          <w:p>
            <w:pPr>
              <w:pStyle w:val="12"/>
            </w:pPr>
            <w:r>
              <w:t>≤125元/本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专家评审费</w:t>
            </w:r>
          </w:p>
        </w:tc>
        <w:tc>
          <w:tcPr>
            <w:tcW w:w="3430" w:type="dxa"/>
            <w:vAlign w:val="center"/>
          </w:tcPr>
          <w:p>
            <w:pPr>
              <w:pStyle w:val="12"/>
            </w:pPr>
            <w:r>
              <w:t>专家评审费</w:t>
            </w:r>
          </w:p>
        </w:tc>
        <w:tc>
          <w:tcPr>
            <w:tcW w:w="2551" w:type="dxa"/>
            <w:vAlign w:val="center"/>
          </w:tcPr>
          <w:p>
            <w:pPr>
              <w:pStyle w:val="12"/>
            </w:pPr>
            <w:r>
              <w:t>≤4200元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法治督查经费</w:t>
            </w:r>
          </w:p>
        </w:tc>
        <w:tc>
          <w:tcPr>
            <w:tcW w:w="3430" w:type="dxa"/>
            <w:vAlign w:val="center"/>
          </w:tcPr>
          <w:p>
            <w:pPr>
              <w:pStyle w:val="12"/>
            </w:pPr>
            <w:r>
              <w:t>法治督查经费</w:t>
            </w:r>
          </w:p>
        </w:tc>
        <w:tc>
          <w:tcPr>
            <w:tcW w:w="2551" w:type="dxa"/>
            <w:vAlign w:val="center"/>
          </w:tcPr>
          <w:p>
            <w:pPr>
              <w:pStyle w:val="12"/>
            </w:pPr>
            <w:r>
              <w:t>≤1.99万元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培训和会议经费</w:t>
            </w:r>
          </w:p>
        </w:tc>
        <w:tc>
          <w:tcPr>
            <w:tcW w:w="3430" w:type="dxa"/>
            <w:vAlign w:val="center"/>
          </w:tcPr>
          <w:p>
            <w:pPr>
              <w:pStyle w:val="12"/>
            </w:pPr>
            <w:r>
              <w:t>培训和会议经费</w:t>
            </w:r>
          </w:p>
        </w:tc>
        <w:tc>
          <w:tcPr>
            <w:tcW w:w="2551" w:type="dxa"/>
            <w:vAlign w:val="center"/>
          </w:tcPr>
          <w:p>
            <w:pPr>
              <w:pStyle w:val="12"/>
            </w:pPr>
            <w:r>
              <w:t>≤2.89万元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培训人均支出</w:t>
            </w:r>
          </w:p>
        </w:tc>
        <w:tc>
          <w:tcPr>
            <w:tcW w:w="3430" w:type="dxa"/>
            <w:vAlign w:val="center"/>
          </w:tcPr>
          <w:p>
            <w:pPr>
              <w:pStyle w:val="12"/>
            </w:pPr>
            <w:r>
              <w:t>培训人均支出</w:t>
            </w:r>
          </w:p>
        </w:tc>
        <w:tc>
          <w:tcPr>
            <w:tcW w:w="2551" w:type="dxa"/>
            <w:vAlign w:val="center"/>
          </w:tcPr>
          <w:p>
            <w:pPr>
              <w:pStyle w:val="12"/>
            </w:pPr>
            <w:r>
              <w:t>≤550元/天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全面依法治市其他经费</w:t>
            </w:r>
          </w:p>
        </w:tc>
        <w:tc>
          <w:tcPr>
            <w:tcW w:w="3430" w:type="dxa"/>
            <w:vAlign w:val="center"/>
          </w:tcPr>
          <w:p>
            <w:pPr>
              <w:pStyle w:val="12"/>
            </w:pPr>
            <w:r>
              <w:t>全面依法治市其他经费</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加强习近平法治思想研究</w:t>
            </w:r>
          </w:p>
        </w:tc>
        <w:tc>
          <w:tcPr>
            <w:tcW w:w="3430" w:type="dxa"/>
            <w:vAlign w:val="center"/>
          </w:tcPr>
          <w:p>
            <w:pPr>
              <w:pStyle w:val="12"/>
            </w:pPr>
            <w:r>
              <w:t>加强习近平法治思想研究</w:t>
            </w:r>
          </w:p>
        </w:tc>
        <w:tc>
          <w:tcPr>
            <w:tcW w:w="2551" w:type="dxa"/>
            <w:vAlign w:val="center"/>
          </w:tcPr>
          <w:p>
            <w:pPr>
              <w:pStyle w:val="12"/>
            </w:pPr>
            <w:r>
              <w:t>形成研究成果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发挥优秀课题引领示范作用</w:t>
            </w:r>
          </w:p>
        </w:tc>
        <w:tc>
          <w:tcPr>
            <w:tcW w:w="3430" w:type="dxa"/>
            <w:vAlign w:val="center"/>
          </w:tcPr>
          <w:p>
            <w:pPr>
              <w:pStyle w:val="12"/>
            </w:pPr>
            <w:r>
              <w:t>发挥优秀课题引领示范作用</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发挥优秀案例引领示范作用</w:t>
            </w:r>
          </w:p>
        </w:tc>
        <w:tc>
          <w:tcPr>
            <w:tcW w:w="3430" w:type="dxa"/>
            <w:vAlign w:val="center"/>
          </w:tcPr>
          <w:p>
            <w:pPr>
              <w:pStyle w:val="12"/>
            </w:pPr>
            <w:r>
              <w:t>发挥优秀案例引领示范作用</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提高被督察单位法治建设水平</w:t>
            </w:r>
          </w:p>
        </w:tc>
        <w:tc>
          <w:tcPr>
            <w:tcW w:w="3430" w:type="dxa"/>
            <w:vAlign w:val="center"/>
          </w:tcPr>
          <w:p>
            <w:pPr>
              <w:pStyle w:val="12"/>
            </w:pPr>
            <w:r>
              <w:t>提高被督察单位法治建设水平</w:t>
            </w:r>
          </w:p>
        </w:tc>
        <w:tc>
          <w:tcPr>
            <w:tcW w:w="2551" w:type="dxa"/>
            <w:vAlign w:val="center"/>
          </w:tcPr>
          <w:p>
            <w:pPr>
              <w:pStyle w:val="12"/>
            </w:pPr>
            <w:r>
              <w:t>发现工作短板弱项，推动法治政府建设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参训学员理论素养与业务能力</w:t>
            </w:r>
          </w:p>
        </w:tc>
        <w:tc>
          <w:tcPr>
            <w:tcW w:w="3430" w:type="dxa"/>
            <w:vAlign w:val="center"/>
          </w:tcPr>
          <w:p>
            <w:pPr>
              <w:pStyle w:val="12"/>
            </w:pPr>
            <w:r>
              <w:t>参训学员理论素养与业务能力</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项目需求方满意度</w:t>
            </w:r>
          </w:p>
        </w:tc>
        <w:tc>
          <w:tcPr>
            <w:tcW w:w="3430" w:type="dxa"/>
            <w:vAlign w:val="center"/>
          </w:tcPr>
          <w:p>
            <w:pPr>
              <w:pStyle w:val="12"/>
            </w:pPr>
            <w:r>
              <w:t>项目需求方满意度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人员满意度</w:t>
            </w:r>
          </w:p>
        </w:tc>
        <w:tc>
          <w:tcPr>
            <w:tcW w:w="3430" w:type="dxa"/>
            <w:vAlign w:val="center"/>
          </w:tcPr>
          <w:p>
            <w:pPr>
              <w:pStyle w:val="12"/>
            </w:pPr>
            <w:r>
              <w:t>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委托部门满意度</w:t>
            </w:r>
          </w:p>
        </w:tc>
        <w:tc>
          <w:tcPr>
            <w:tcW w:w="3430" w:type="dxa"/>
            <w:vAlign w:val="center"/>
          </w:tcPr>
          <w:p>
            <w:pPr>
              <w:pStyle w:val="12"/>
            </w:pPr>
            <w:r>
              <w:t>委托部门满意度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参训学员满意度</w:t>
            </w:r>
          </w:p>
        </w:tc>
        <w:tc>
          <w:tcPr>
            <w:tcW w:w="3430" w:type="dxa"/>
            <w:vAlign w:val="center"/>
          </w:tcPr>
          <w:p>
            <w:pPr>
              <w:pStyle w:val="12"/>
            </w:pPr>
            <w:r>
              <w:t>参训学员满意度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12.天津市司法局债券利息-2025债券利息绩效目标表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天津市司法局债券利息-2025债券利息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6.01</w:t>
            </w:r>
          </w:p>
        </w:tc>
        <w:tc>
          <w:tcPr>
            <w:tcW w:w="1587" w:type="dxa"/>
            <w:vAlign w:val="center"/>
          </w:tcPr>
          <w:p>
            <w:pPr>
              <w:pStyle w:val="13"/>
            </w:pPr>
            <w:r>
              <w:t>其中：财政    资金</w:t>
            </w:r>
          </w:p>
        </w:tc>
        <w:tc>
          <w:tcPr>
            <w:tcW w:w="1843" w:type="dxa"/>
            <w:vAlign w:val="center"/>
          </w:tcPr>
          <w:p>
            <w:pPr>
              <w:pStyle w:val="12"/>
            </w:pPr>
            <w:r>
              <w:t>6.01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1.通过按时完成债券利息，保障投资者权益。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偿还债券项目数量</w:t>
            </w:r>
          </w:p>
        </w:tc>
        <w:tc>
          <w:tcPr>
            <w:tcW w:w="3430" w:type="dxa"/>
            <w:vAlign w:val="center"/>
          </w:tcPr>
          <w:p>
            <w:pPr>
              <w:pStyle w:val="12"/>
            </w:pPr>
            <w:r>
              <w:t>偿还债券项目数量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债券利息发放率</w:t>
            </w:r>
          </w:p>
        </w:tc>
        <w:tc>
          <w:tcPr>
            <w:tcW w:w="3430" w:type="dxa"/>
            <w:vAlign w:val="center"/>
          </w:tcPr>
          <w:p>
            <w:pPr>
              <w:pStyle w:val="12"/>
            </w:pPr>
            <w:r>
              <w:t>债券利息发放率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偿还债券利息及时率</w:t>
            </w:r>
          </w:p>
        </w:tc>
        <w:tc>
          <w:tcPr>
            <w:tcW w:w="3430" w:type="dxa"/>
            <w:vAlign w:val="center"/>
          </w:tcPr>
          <w:p>
            <w:pPr>
              <w:pStyle w:val="12"/>
            </w:pPr>
            <w:r>
              <w:t>偿还债券利息及时率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偿还债券利息金额</w:t>
            </w:r>
          </w:p>
        </w:tc>
        <w:tc>
          <w:tcPr>
            <w:tcW w:w="3430" w:type="dxa"/>
            <w:vAlign w:val="center"/>
          </w:tcPr>
          <w:p>
            <w:pPr>
              <w:pStyle w:val="12"/>
            </w:pPr>
            <w:r>
              <w:t>偿还债券利息金额</w:t>
            </w:r>
          </w:p>
        </w:tc>
        <w:tc>
          <w:tcPr>
            <w:tcW w:w="2551" w:type="dxa"/>
            <w:vAlign w:val="center"/>
          </w:tcPr>
          <w:p>
            <w:pPr>
              <w:pStyle w:val="12"/>
            </w:pPr>
            <w:r>
              <w:t>≤6.01万元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保障投资者权益</w:t>
            </w:r>
          </w:p>
        </w:tc>
        <w:tc>
          <w:tcPr>
            <w:tcW w:w="3430" w:type="dxa"/>
            <w:vAlign w:val="center"/>
          </w:tcPr>
          <w:p>
            <w:pPr>
              <w:pStyle w:val="12"/>
            </w:pPr>
            <w:r>
              <w:t>保障投资者权益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公众对偿还债券利息投诉次数</w:t>
            </w:r>
          </w:p>
        </w:tc>
        <w:tc>
          <w:tcPr>
            <w:tcW w:w="3430" w:type="dxa"/>
            <w:vAlign w:val="center"/>
          </w:tcPr>
          <w:p>
            <w:pPr>
              <w:pStyle w:val="12"/>
            </w:pPr>
            <w:r>
              <w:t>公众对偿还债券利息投诉次数</w:t>
            </w:r>
          </w:p>
        </w:tc>
        <w:tc>
          <w:tcPr>
            <w:tcW w:w="2551" w:type="dxa"/>
            <w:vAlign w:val="center"/>
          </w:tcPr>
          <w:p>
            <w:pPr>
              <w:pStyle w:val="12"/>
            </w:pPr>
            <w:r>
              <w:t>≤1次</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13.医疗纠纷人民调解-2025中央绩效目标表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343101天津市司法局装备财务处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医疗纠纷人民调解-2025中央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600.00</w:t>
            </w:r>
          </w:p>
        </w:tc>
        <w:tc>
          <w:tcPr>
            <w:tcW w:w="1587" w:type="dxa"/>
            <w:vAlign w:val="center"/>
          </w:tcPr>
          <w:p>
            <w:pPr>
              <w:pStyle w:val="13"/>
            </w:pPr>
            <w:r>
              <w:t>其中：财政    资金</w:t>
            </w:r>
          </w:p>
        </w:tc>
        <w:tc>
          <w:tcPr>
            <w:tcW w:w="1843" w:type="dxa"/>
            <w:vAlign w:val="center"/>
          </w:tcPr>
          <w:p>
            <w:pPr>
              <w:pStyle w:val="12"/>
            </w:pPr>
            <w:r>
              <w:t>600.00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医疗纠纷人民调解经费。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承担本市医疗纠纷调解，有效化解医患矛盾，防止纠纷激化，维护社会稳定。通过调解工作宣传法律、法规、规章和医学知识，引导医患双方当事人依法维护自身合法权益。完成年度医疗纠纷调解案件数量、调解成功率和评价满意度指标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医疗纠纷人民调解案件数量</w:t>
            </w:r>
          </w:p>
        </w:tc>
        <w:tc>
          <w:tcPr>
            <w:tcW w:w="3430" w:type="dxa"/>
            <w:vAlign w:val="center"/>
          </w:tcPr>
          <w:p>
            <w:pPr>
              <w:pStyle w:val="12"/>
            </w:pPr>
            <w:r>
              <w:t>医疗纠纷人民调解案件数量</w:t>
            </w:r>
          </w:p>
        </w:tc>
        <w:tc>
          <w:tcPr>
            <w:tcW w:w="2551" w:type="dxa"/>
            <w:vAlign w:val="center"/>
          </w:tcPr>
          <w:p>
            <w:pPr>
              <w:pStyle w:val="12"/>
            </w:pPr>
            <w:r>
              <w:t>≥700件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医疗纠纷人民调解成功率</w:t>
            </w:r>
          </w:p>
        </w:tc>
        <w:tc>
          <w:tcPr>
            <w:tcW w:w="3430" w:type="dxa"/>
            <w:vAlign w:val="center"/>
          </w:tcPr>
          <w:p>
            <w:pPr>
              <w:pStyle w:val="12"/>
            </w:pPr>
            <w:r>
              <w:t>医疗纠纷人民调解成功率</w:t>
            </w:r>
          </w:p>
        </w:tc>
        <w:tc>
          <w:tcPr>
            <w:tcW w:w="2551" w:type="dxa"/>
            <w:vAlign w:val="center"/>
          </w:tcPr>
          <w:p>
            <w:pPr>
              <w:pStyle w:val="12"/>
            </w:pPr>
            <w:r>
              <w:t>≥87%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医疗纠纷人民调解案件受理时间</w:t>
            </w:r>
          </w:p>
        </w:tc>
        <w:tc>
          <w:tcPr>
            <w:tcW w:w="3430" w:type="dxa"/>
            <w:vAlign w:val="center"/>
          </w:tcPr>
          <w:p>
            <w:pPr>
              <w:pStyle w:val="12"/>
            </w:pPr>
            <w:r>
              <w:t>医疗纠纷人民调解案件受理时间</w:t>
            </w:r>
          </w:p>
        </w:tc>
        <w:tc>
          <w:tcPr>
            <w:tcW w:w="2551" w:type="dxa"/>
            <w:vAlign w:val="center"/>
          </w:tcPr>
          <w:p>
            <w:pPr>
              <w:pStyle w:val="12"/>
            </w:pPr>
            <w:r>
              <w:t>自收齐受理材料之日起3个工作日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医疗纠纷人民调解经费支出</w:t>
            </w:r>
          </w:p>
        </w:tc>
        <w:tc>
          <w:tcPr>
            <w:tcW w:w="3430" w:type="dxa"/>
            <w:vAlign w:val="center"/>
          </w:tcPr>
          <w:p>
            <w:pPr>
              <w:pStyle w:val="12"/>
            </w:pPr>
            <w:r>
              <w:t>医疗纠纷人民调解经费支出</w:t>
            </w:r>
          </w:p>
        </w:tc>
        <w:tc>
          <w:tcPr>
            <w:tcW w:w="2551" w:type="dxa"/>
            <w:vAlign w:val="center"/>
          </w:tcPr>
          <w:p>
            <w:pPr>
              <w:pStyle w:val="12"/>
            </w:pPr>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前端化解纠纷，源头解决医患矛盾</w:t>
            </w:r>
          </w:p>
        </w:tc>
        <w:tc>
          <w:tcPr>
            <w:tcW w:w="3430" w:type="dxa"/>
            <w:vAlign w:val="center"/>
          </w:tcPr>
          <w:p>
            <w:pPr>
              <w:pStyle w:val="12"/>
            </w:pPr>
            <w:r>
              <w:t>前端化解纠纷，源头解决医患矛盾</w:t>
            </w:r>
          </w:p>
        </w:tc>
        <w:tc>
          <w:tcPr>
            <w:tcW w:w="2551" w:type="dxa"/>
            <w:vAlign w:val="center"/>
          </w:tcPr>
          <w:p>
            <w:pPr>
              <w:pStyle w:val="12"/>
            </w:pPr>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当事人满意度</w:t>
            </w:r>
          </w:p>
        </w:tc>
        <w:tc>
          <w:tcPr>
            <w:tcW w:w="3430" w:type="dxa"/>
            <w:vAlign w:val="center"/>
          </w:tcPr>
          <w:p>
            <w:pPr>
              <w:pStyle w:val="12"/>
            </w:pPr>
            <w:r>
              <w:t>当事人满意度</w:t>
            </w:r>
          </w:p>
        </w:tc>
        <w:tc>
          <w:tcPr>
            <w:tcW w:w="2551" w:type="dxa"/>
            <w:vAlign w:val="center"/>
          </w:tcPr>
          <w:p>
            <w:pPr>
              <w:pStyle w:val="12"/>
            </w:pPr>
            <w:r>
              <w:t>≥95%</w:t>
            </w:r>
          </w:p>
        </w:tc>
      </w:tr>
    </w:tbl>
    <w:p>
      <w:pPr>
        <w:rPr>
          <w:rFonts w:hint="eastAsia" w:eastAsiaTheme="minorEastAsia"/>
          <w:lang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89236A"/>
    <w:rsid w:val="000646B1"/>
    <w:rsid w:val="000866D3"/>
    <w:rsid w:val="0062726C"/>
    <w:rsid w:val="008346E9"/>
    <w:rsid w:val="0089236A"/>
    <w:rsid w:val="00B67DCD"/>
    <w:rsid w:val="00BE3A79"/>
    <w:rsid w:val="3AFB0A1A"/>
    <w:rsid w:val="7D5FDE90"/>
    <w:rsid w:val="FBDF2357"/>
    <w:rsid w:val="FEF2E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29</Pages>
  <Words>2109</Words>
  <Characters>12025</Characters>
  <Lines>100</Lines>
  <Paragraphs>28</Paragraphs>
  <TotalTime>3</TotalTime>
  <ScaleCrop>false</ScaleCrop>
  <LinksUpToDate>false</LinksUpToDate>
  <CharactersWithSpaces>14106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2025-03-04T15:45:00Z</dcterms:created>
  <dc:creator>kylin</dc:creator>
  <cp:lastModifiedBy>杜广茹</cp:lastModifiedBy>
  <dcterms:modified xsi:type="dcterms:W3CDTF">2025-03-06T14:59:34Z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