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1EAF8">
      <w:pPr>
        <w:autoSpaceDE w:val="0"/>
        <w:autoSpaceDN w:val="0"/>
        <w:adjustRightInd w:val="0"/>
        <w:jc w:val="center"/>
        <w:rPr>
          <w:rFonts w:hint="eastAsia" w:ascii="Times New Roman" w:hAnsi="Times New Roman" w:eastAsia="方正小标宋简体" w:cs="方正小标宋简体"/>
          <w:kern w:val="0"/>
          <w:sz w:val="48"/>
          <w:szCs w:val="48"/>
          <w:lang w:val="zh-CN"/>
        </w:rPr>
      </w:pPr>
    </w:p>
    <w:p w14:paraId="36E37AF7">
      <w:pPr>
        <w:autoSpaceDE w:val="0"/>
        <w:autoSpaceDN w:val="0"/>
        <w:adjustRightInd w:val="0"/>
        <w:jc w:val="center"/>
        <w:rPr>
          <w:rFonts w:ascii="Times New Roman" w:hAnsi="Times New Roman" w:eastAsia="方正小标宋简体" w:cs="方正小标宋简体"/>
          <w:kern w:val="0"/>
          <w:sz w:val="48"/>
          <w:szCs w:val="48"/>
          <w:lang w:val="zh-CN"/>
        </w:rPr>
      </w:pPr>
    </w:p>
    <w:p w14:paraId="3BCAFAEC">
      <w:pPr>
        <w:autoSpaceDE w:val="0"/>
        <w:autoSpaceDN w:val="0"/>
        <w:adjustRightInd w:val="0"/>
        <w:jc w:val="center"/>
        <w:rPr>
          <w:rFonts w:ascii="Times New Roman" w:hAnsi="Times New Roman" w:eastAsia="方正小标宋简体" w:cs="方正小标宋简体"/>
          <w:kern w:val="0"/>
          <w:sz w:val="48"/>
          <w:szCs w:val="48"/>
          <w:lang w:val="zh-CN"/>
        </w:rPr>
      </w:pPr>
    </w:p>
    <w:p w14:paraId="402752BA">
      <w:pPr>
        <w:autoSpaceDE w:val="0"/>
        <w:autoSpaceDN w:val="0"/>
        <w:adjustRightInd w:val="0"/>
        <w:jc w:val="center"/>
        <w:rPr>
          <w:rFonts w:ascii="Times New Roman" w:hAnsi="Times New Roman" w:eastAsia="方正小标宋简体" w:cs="方正小标宋简体"/>
          <w:kern w:val="0"/>
          <w:sz w:val="48"/>
          <w:szCs w:val="48"/>
          <w:lang w:val="zh-CN"/>
        </w:rPr>
      </w:pPr>
    </w:p>
    <w:p w14:paraId="6063C94F">
      <w:pPr>
        <w:autoSpaceDE w:val="0"/>
        <w:autoSpaceDN w:val="0"/>
        <w:adjustRightInd w:val="0"/>
        <w:jc w:val="center"/>
        <w:rPr>
          <w:rFonts w:ascii="Times New Roman" w:hAnsi="Times New Roman" w:eastAsia="方正小标宋简体" w:cs="方正小标宋简体"/>
          <w:kern w:val="0"/>
          <w:sz w:val="48"/>
          <w:szCs w:val="48"/>
          <w:lang w:val="zh-CN"/>
        </w:rPr>
      </w:pPr>
    </w:p>
    <w:p w14:paraId="3D0A3593">
      <w:pPr>
        <w:autoSpaceDE w:val="0"/>
        <w:autoSpaceDN w:val="0"/>
        <w:adjustRightInd w:val="0"/>
        <w:jc w:val="center"/>
        <w:rPr>
          <w:rFonts w:ascii="Times New Roman" w:hAnsi="Times New Roman" w:eastAsia="方正小标宋简体" w:cs="方正小标宋简体"/>
          <w:kern w:val="0"/>
          <w:sz w:val="48"/>
          <w:szCs w:val="48"/>
          <w:lang w:val="zh-CN"/>
        </w:rPr>
      </w:pPr>
    </w:p>
    <w:p w14:paraId="21DA86C6">
      <w:pPr>
        <w:autoSpaceDE w:val="0"/>
        <w:autoSpaceDN w:val="0"/>
        <w:adjustRightInd w:val="0"/>
        <w:jc w:val="center"/>
        <w:rPr>
          <w:rFonts w:ascii="Times New Roman" w:hAnsi="Times New Roman" w:eastAsia="方正小标宋简体" w:cs="方正小标宋简体"/>
          <w:kern w:val="0"/>
          <w:sz w:val="48"/>
          <w:szCs w:val="48"/>
          <w:lang w:val="zh-CN"/>
        </w:rPr>
      </w:pPr>
    </w:p>
    <w:p w14:paraId="5E791956">
      <w:pPr>
        <w:autoSpaceDE w:val="0"/>
        <w:autoSpaceDN w:val="0"/>
        <w:adjustRightInd w:val="0"/>
        <w:jc w:val="center"/>
        <w:rPr>
          <w:rFonts w:ascii="Times New Roman" w:hAnsi="Times New Roman" w:eastAsia="方正小标宋简体" w:cs="方正小标宋简体"/>
          <w:kern w:val="0"/>
          <w:sz w:val="48"/>
          <w:szCs w:val="48"/>
          <w:lang w:val="zh-CN"/>
        </w:rPr>
      </w:pPr>
    </w:p>
    <w:p w14:paraId="2126D604">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天津市司法局（本级）2023年度部门决算</w:t>
      </w:r>
    </w:p>
    <w:p w14:paraId="5FBCB961">
      <w:pPr>
        <w:autoSpaceDE w:val="0"/>
        <w:autoSpaceDN w:val="0"/>
        <w:adjustRightInd w:val="0"/>
        <w:spacing w:line="580" w:lineRule="exact"/>
        <w:jc w:val="center"/>
        <w:rPr>
          <w:rFonts w:ascii="Times New Roman" w:hAnsi="Times New Roman" w:eastAsia="黑体" w:cs="黑体"/>
          <w:sz w:val="30"/>
          <w:szCs w:val="30"/>
        </w:rPr>
      </w:pPr>
    </w:p>
    <w:p w14:paraId="4B7E70B9">
      <w:pPr>
        <w:autoSpaceDE w:val="0"/>
        <w:autoSpaceDN w:val="0"/>
        <w:adjustRightInd w:val="0"/>
        <w:spacing w:line="580" w:lineRule="exact"/>
        <w:jc w:val="center"/>
        <w:rPr>
          <w:rFonts w:ascii="Times New Roman" w:hAnsi="Times New Roman" w:eastAsia="黑体" w:cs="黑体"/>
          <w:sz w:val="30"/>
          <w:szCs w:val="30"/>
        </w:rPr>
      </w:pPr>
    </w:p>
    <w:p w14:paraId="1A6CCDA5">
      <w:pPr>
        <w:autoSpaceDE w:val="0"/>
        <w:autoSpaceDN w:val="0"/>
        <w:adjustRightInd w:val="0"/>
        <w:spacing w:line="580" w:lineRule="exact"/>
        <w:jc w:val="center"/>
        <w:rPr>
          <w:rFonts w:ascii="Times New Roman" w:hAnsi="Times New Roman" w:eastAsia="黑体" w:cs="黑体"/>
          <w:sz w:val="30"/>
          <w:szCs w:val="30"/>
        </w:rPr>
      </w:pPr>
    </w:p>
    <w:p w14:paraId="69AFB957">
      <w:pPr>
        <w:autoSpaceDE w:val="0"/>
        <w:autoSpaceDN w:val="0"/>
        <w:adjustRightInd w:val="0"/>
        <w:spacing w:line="580" w:lineRule="exact"/>
        <w:jc w:val="center"/>
        <w:rPr>
          <w:rFonts w:ascii="Times New Roman" w:hAnsi="Times New Roman" w:eastAsia="黑体" w:cs="黑体"/>
          <w:sz w:val="30"/>
          <w:szCs w:val="30"/>
        </w:rPr>
      </w:pPr>
    </w:p>
    <w:p w14:paraId="3C9B22F0">
      <w:pPr>
        <w:autoSpaceDE w:val="0"/>
        <w:autoSpaceDN w:val="0"/>
        <w:adjustRightInd w:val="0"/>
        <w:spacing w:line="580" w:lineRule="exact"/>
        <w:jc w:val="center"/>
        <w:rPr>
          <w:rFonts w:ascii="Times New Roman" w:hAnsi="Times New Roman" w:eastAsia="黑体" w:cs="黑体"/>
          <w:sz w:val="30"/>
          <w:szCs w:val="30"/>
        </w:rPr>
      </w:pPr>
    </w:p>
    <w:p w14:paraId="527DFCC6">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7488AB83">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78A574F3">
      <w:pPr>
        <w:autoSpaceDE w:val="0"/>
        <w:autoSpaceDN w:val="0"/>
        <w:adjustRightInd w:val="0"/>
        <w:spacing w:line="600" w:lineRule="exact"/>
        <w:jc w:val="left"/>
        <w:rPr>
          <w:rFonts w:ascii="Times New Roman" w:hAnsi="Times New Roman" w:eastAsia="黑体" w:cs="黑体"/>
          <w:kern w:val="0"/>
          <w:sz w:val="30"/>
          <w:szCs w:val="30"/>
        </w:rPr>
      </w:pPr>
    </w:p>
    <w:p w14:paraId="3242455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672BCC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1C39DA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A4C02E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18CB47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70C12C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136B74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15F4FE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3DCE18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C9A31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FD7C8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522C64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F7A9A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575191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C2239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23C389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2E2B4C9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73FFF1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724869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60C31D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7FD541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617234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D8DC4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0E41B3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70FBCC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9CDD6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2653C9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65FAF5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72D46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33857C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1024B3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7F71E5D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7B7E1A58">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5A1E78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3791DE5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43ABFEA0">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统筹规划市政府立法工作责任。负责起草或者组织起草有关地方性法规、政府规章草案。承办政府规章的解释、立法后评估工作。承担统筹推进法治政府建设的责任。负责拟订法治宣传教育规划，组织实施普法宣传工作。指导监督全市监狱管理、刑罚执行、罪犯改造、本系统强制隔离戒毒执行和戒毒康复工作。负责拟订公共服务法律体系规划并组织实施。负责本市国家统一法律职业资格考试的组织实施工作。组织开展法治对外合作交流等任务。</w:t>
      </w:r>
    </w:p>
    <w:p w14:paraId="008FE3B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8260F9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rPr>
        <w:t>内设36个职能处室。</w:t>
      </w:r>
    </w:p>
    <w:p w14:paraId="059716EA">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844848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9BBE001">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14ED259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6DFADC7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179B43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15A3D2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8BF15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421CF96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D05F2A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05B215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12305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D054D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63BD490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3065FB7E">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59ABA0FA">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楷体" w:cs="Times New Roman"/>
          <w:kern w:val="0"/>
          <w:sz w:val="24"/>
          <w:szCs w:val="24"/>
          <w:lang w:val="en-US" w:eastAsia="zh-CN"/>
        </w:rPr>
        <w:t xml:space="preserve">    </w:t>
      </w:r>
      <w:r>
        <w:rPr>
          <w:rFonts w:hint="eastAsia" w:ascii="Times New Roman" w:hAnsi="Times New Roman" w:eastAsia="黑体" w:cs="黑体"/>
          <w:b/>
          <w:bCs/>
          <w:kern w:val="0"/>
          <w:sz w:val="30"/>
          <w:szCs w:val="30"/>
        </w:rPr>
        <w:t>十二、关于空表的说明</w:t>
      </w:r>
    </w:p>
    <w:p w14:paraId="7D26E725">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rPr>
        <w:t xml:space="preserve">2023年度政府性基金预算财政拨款收入支出决算表为空表”。 </w:t>
      </w:r>
    </w:p>
    <w:p w14:paraId="4BEFB98A">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rPr>
        <w:t>2023年度国有资本经营预算财政拨款收入支出决算表为空表”。</w:t>
      </w:r>
    </w:p>
    <w:p w14:paraId="78A2BD22">
      <w:pPr>
        <w:autoSpaceDE w:val="0"/>
        <w:autoSpaceDN w:val="0"/>
        <w:adjustRightInd w:val="0"/>
        <w:spacing w:line="600" w:lineRule="exact"/>
        <w:ind w:firstLine="601"/>
        <w:jc w:val="left"/>
        <w:rPr>
          <w:rFonts w:ascii="Times New Roman" w:hAnsi="Times New Roman" w:eastAsia="仿宋_GB2312" w:cs="仿宋_GB2312"/>
          <w:sz w:val="30"/>
          <w:szCs w:val="30"/>
        </w:rPr>
      </w:pPr>
    </w:p>
    <w:p w14:paraId="6DED074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52A5C6F0">
      <w:pPr>
        <w:autoSpaceDE w:val="0"/>
        <w:autoSpaceDN w:val="0"/>
        <w:adjustRightInd w:val="0"/>
        <w:spacing w:line="580" w:lineRule="exact"/>
        <w:ind w:firstLine="600"/>
        <w:jc w:val="left"/>
        <w:rPr>
          <w:rFonts w:ascii="Times New Roman" w:hAnsi="Times New Roman" w:eastAsia="黑体" w:cs="黑体"/>
          <w:sz w:val="30"/>
          <w:szCs w:val="30"/>
          <w:lang w:val="zh-CN"/>
        </w:rPr>
      </w:pPr>
    </w:p>
    <w:p w14:paraId="557F2A4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04565A9E">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lang w:val="zh-CN"/>
        </w:rPr>
        <w:t>2023年度收入、支出决算总计</w:t>
      </w:r>
      <w:r>
        <w:rPr>
          <w:rFonts w:hint="eastAsia" w:ascii="Times New Roman" w:hAnsi="Times New Roman" w:eastAsia="仿宋_GB2312" w:cs="仿宋_GB2312"/>
          <w:sz w:val="30"/>
          <w:szCs w:val="30"/>
        </w:rPr>
        <w:t>214,164,404.97元，与2022年度相比，收、支总计各增加84,470,269.98元，增长65.13%，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：项目收入和支出较上年大幅增加。</w:t>
      </w:r>
    </w:p>
    <w:p w14:paraId="4FD738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211D4EC">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214,039,975.97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年度相比增加84,530,144.62元，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：项目收入较上年大幅增加。</w:t>
      </w:r>
    </w:p>
    <w:p w14:paraId="75A7ABD3">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213,892,131.98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99.93</w:t>
      </w:r>
      <w:r>
        <w:rPr>
          <w:rFonts w:hint="eastAsia" w:ascii="Times New Roman" w:hAnsi="Times New Roman" w:eastAsia="宋体" w:cs="Times New Roman"/>
          <w:sz w:val="30"/>
          <w:szCs w:val="30"/>
        </w:rPr>
        <w:t>%；</w:t>
      </w:r>
    </w:p>
    <w:p w14:paraId="1FE153E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147,843.99元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0.07%。</w:t>
      </w:r>
    </w:p>
    <w:p w14:paraId="11ECC31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2C2E1B41">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年度本年支出合计213,926,811.70元，与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年度相比增加84,505,564.66元，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项目支出较上年大幅增加。</w:t>
      </w:r>
    </w:p>
    <w:p w14:paraId="4CD155D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99,352,578.29元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占46.44%；</w:t>
      </w:r>
    </w:p>
    <w:p w14:paraId="6055BB37">
      <w:pPr>
        <w:autoSpaceDE w:val="0"/>
        <w:autoSpaceDN w:val="0"/>
        <w:adjustRightInd w:val="0"/>
        <w:spacing w:line="580" w:lineRule="exact"/>
        <w:ind w:firstLine="600"/>
        <w:jc w:val="left"/>
        <w:rPr>
          <w:rFonts w:hint="eastAsia" w:ascii="Times New Roman" w:hAnsi="Times New Roman" w:eastAsia="仿宋_GB2312" w:cs="仿宋_GB2312"/>
          <w:sz w:val="30"/>
          <w:szCs w:val="30"/>
          <w:lang w:val="en-US" w:eastAsia="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114,574,233.41元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占53.56%</w:t>
      </w:r>
      <w:r>
        <w:rPr>
          <w:rFonts w:hint="eastAsia" w:ascii="Times New Roman" w:hAnsi="Times New Roman" w:eastAsia="仿宋_GB2312" w:cs="仿宋_GB2312"/>
          <w:sz w:val="30"/>
          <w:szCs w:val="30"/>
          <w:lang w:eastAsia="zh-CN"/>
        </w:rPr>
        <w:t>。</w:t>
      </w:r>
    </w:p>
    <w:p w14:paraId="029200F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7568FBB4">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213,893,115.98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年度相比，财政拨款收、支总计各增加84,411,847.33元，增长65.19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项目收入和支出较上年大幅增加。</w:t>
      </w:r>
    </w:p>
    <w:p w14:paraId="6C2ABDA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66CFF03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3A6388D">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rPr>
        <w:t>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计213,814,877.98元，占本年支出合计的99.95%，与2022年度相比，一般公共预算财政拨款支出增加84,468,956.34元，增长65.3%，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：项目支出较上年大幅增加。</w:t>
      </w:r>
    </w:p>
    <w:p w14:paraId="05F26DB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257540E">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213,814,877.98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w:t>
      </w:r>
      <w:r>
        <w:rPr>
          <w:rFonts w:hint="eastAsia" w:ascii="Times New Roman" w:hAnsi="Times New Roman" w:eastAsia="仿宋_GB2312" w:cs="Times New Roman"/>
          <w:sz w:val="30"/>
          <w:szCs w:val="30"/>
        </w:rPr>
        <w:t>199</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630</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020.29</w:t>
      </w:r>
      <w:r>
        <w:rPr>
          <w:rFonts w:hint="eastAsia" w:ascii="Times New Roman" w:hAnsi="Times New Roman" w:eastAsia="仿宋_GB2312" w:cs="仿宋_GB2312"/>
          <w:sz w:val="30"/>
          <w:szCs w:val="30"/>
        </w:rPr>
        <w:t>元，占93.33%，社会保障和就业支出8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988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932.16元，占4.24%，卫生健康支出5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195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925.53元，占2.43%。</w:t>
      </w:r>
    </w:p>
    <w:p w14:paraId="23A4209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005DE7CE">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207,093,000.00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213,814,877.98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103.25%</w:t>
      </w:r>
      <w:r>
        <w:rPr>
          <w:rFonts w:hint="eastAsia" w:ascii="Times New Roman" w:hAnsi="Times New Roman" w:eastAsia="仿宋_GB2312" w:cs="仿宋_GB2312"/>
          <w:kern w:val="0"/>
          <w:sz w:val="30"/>
          <w:szCs w:val="30"/>
        </w:rPr>
        <w:t>。其中：</w:t>
      </w:r>
    </w:p>
    <w:p w14:paraId="2697AE66">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1.公共安全-司法-行政运行年初预算为85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634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000元，支出决算为85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055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786.88元，完成年初预算的99.32%，决算数小于年初预算数的主要原因是本年度人员经费结余。</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w:t>
      </w:r>
      <w:r>
        <w:rPr>
          <w:rFonts w:hint="eastAsia" w:ascii="Times New Roman" w:hAnsi="Times New Roman" w:eastAsia="仿宋_GB2312" w:cs="仿宋_GB2312"/>
          <w:sz w:val="30"/>
          <w:szCs w:val="30"/>
        </w:rPr>
        <w:t>2.公共安全-司法-基层司法业务年初预算为7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634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800元，支出决算为</w:t>
      </w:r>
      <w:r>
        <w:rPr>
          <w:rFonts w:hint="eastAsia" w:ascii="Times New Roman" w:hAnsi="Times New Roman" w:eastAsia="仿宋_GB2312" w:cs="仿宋_GB2312"/>
          <w:sz w:val="30"/>
          <w:szCs w:val="30"/>
          <w:highlight w:val="none"/>
        </w:rPr>
        <w:t>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634</w:t>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rPr>
        <w:t>00</w:t>
      </w:r>
      <w:r>
        <w:rPr>
          <w:rFonts w:hint="eastAsia" w:ascii="Times New Roman" w:hAnsi="Times New Roman" w:eastAsia="仿宋_GB2312" w:cs="仿宋_GB2312"/>
          <w:sz w:val="30"/>
          <w:szCs w:val="30"/>
        </w:rPr>
        <w:t>元，完成年初预算的204.78%，决算数大于年初预算数主要原因是追加项目经费。</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3</w:t>
      </w:r>
      <w:r>
        <w:rPr>
          <w:rFonts w:hint="eastAsia" w:ascii="Times New Roman" w:hAnsi="Times New Roman" w:eastAsia="仿宋_GB2312" w:cs="仿宋_GB2312"/>
          <w:sz w:val="30"/>
          <w:szCs w:val="30"/>
        </w:rPr>
        <w:t>.公共安全-司法-普法宣传年初预算为2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592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439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658.35元，完成年初预算的94.12%。决算数小于年初预算数的主要原因是在项目执行过程中本着节约的原则，压缩经费支出。</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4</w:t>
      </w:r>
      <w:r>
        <w:rPr>
          <w:rFonts w:hint="eastAsia" w:ascii="Times New Roman" w:hAnsi="Times New Roman" w:eastAsia="仿宋_GB2312" w:cs="仿宋_GB2312"/>
          <w:sz w:val="30"/>
          <w:szCs w:val="30"/>
        </w:rPr>
        <w:t>.公共安全-司法-公共法律服务年初预算为401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100元，支出决算为334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070元，完成年初预算的83.29%，决算数小于年初预算数的主要原因是项目执行过程中本着节约的原则，压缩经费支出。</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5</w:t>
      </w:r>
      <w:r>
        <w:rPr>
          <w:rFonts w:hint="eastAsia" w:ascii="Times New Roman" w:hAnsi="Times New Roman" w:eastAsia="仿宋_GB2312" w:cs="仿宋_GB2312"/>
          <w:sz w:val="30"/>
          <w:szCs w:val="30"/>
        </w:rPr>
        <w:t>.公共安全-司法-国家统一法律职业资格考试年初预算为5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560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437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830.94元，完成年初预算的97.8%，决算数小于年初预算数的主要原因是项目执行过程中本着节约的原则，压缩经费支出。</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6.</w:t>
      </w:r>
      <w:r>
        <w:rPr>
          <w:rFonts w:hint="eastAsia" w:ascii="Times New Roman" w:hAnsi="Times New Roman" w:eastAsia="仿宋_GB2312" w:cs="仿宋_GB2312"/>
          <w:sz w:val="30"/>
          <w:szCs w:val="30"/>
        </w:rPr>
        <w:t>公共安全-司法-法治建设年初预算为532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000元，支出决算为240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000.00元，完成年初预算的45.11%，决算数小于年初预算数的主要原因是未聘任新一届市政府法律顾问，未支付相关费用。</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7.</w:t>
      </w:r>
      <w:r>
        <w:rPr>
          <w:rFonts w:hint="eastAsia" w:ascii="Times New Roman" w:hAnsi="Times New Roman" w:eastAsia="仿宋_GB2312" w:cs="仿宋_GB2312"/>
          <w:sz w:val="30"/>
          <w:szCs w:val="30"/>
        </w:rPr>
        <w:t>公共安全-司法-信息化建设年初预算为3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240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319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600.00元，完成年初预算的133.32%。决算数大于年初预算数的主要原因是追加项目经费。</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8.</w:t>
      </w:r>
      <w:r>
        <w:rPr>
          <w:rFonts w:hint="eastAsia" w:ascii="Times New Roman" w:hAnsi="Times New Roman" w:eastAsia="仿宋_GB2312" w:cs="仿宋_GB2312"/>
          <w:sz w:val="30"/>
          <w:szCs w:val="30"/>
        </w:rPr>
        <w:t>公共安全-司法-其他司法支出年初预算为83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811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100元，支出决算为86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168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674.12元，完成年初预算的102.81%，决算数大于年初预算数的主要原因是追加项目经费。</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9</w:t>
      </w:r>
      <w:r>
        <w:rPr>
          <w:rFonts w:hint="eastAsia" w:ascii="Times New Roman" w:hAnsi="Times New Roman" w:eastAsia="仿宋_GB2312" w:cs="仿宋_GB2312"/>
          <w:sz w:val="30"/>
          <w:szCs w:val="30"/>
        </w:rPr>
        <w:t>. 社会保障和就业支出-机关事业单位养老支出-机关事业单位基本养老保险缴费支出年初预算为6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299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992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621.44元，完成年初预算的95.14%，决算数小于年初预算数的主要原因是财政供养人员经费随人员增减变动动态调整。</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w:t>
      </w:r>
      <w:r>
        <w:rPr>
          <w:rFonts w:hint="eastAsia" w:ascii="Times New Roman" w:hAnsi="Times New Roman" w:eastAsia="仿宋_GB2312" w:cs="仿宋_GB2312"/>
          <w:sz w:val="30"/>
          <w:szCs w:val="30"/>
        </w:rPr>
        <w:t>1</w:t>
      </w:r>
      <w:r>
        <w:rPr>
          <w:rFonts w:hint="default" w:ascii="Times New Roman" w:hAnsi="Times New Roman" w:eastAsia="仿宋_GB2312" w:cs="仿宋_GB2312"/>
          <w:sz w:val="30"/>
          <w:szCs w:val="30"/>
          <w:lang w:val="en"/>
        </w:rPr>
        <w:t>0</w:t>
      </w:r>
      <w:r>
        <w:rPr>
          <w:rFonts w:hint="eastAsia" w:ascii="Times New Roman" w:hAnsi="Times New Roman" w:eastAsia="仿宋_GB2312" w:cs="仿宋_GB2312"/>
          <w:sz w:val="30"/>
          <w:szCs w:val="30"/>
        </w:rPr>
        <w:t>.社会保障和就业支出-机关事业单位养老支出-机关事业单位职业年金缴费支出年初预算为3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149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996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310.72元，完成年初预算的95.15%，决算数小于年初预算数的主要原因是财政供养人员经费随人员增减变动动态调整。</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w:t>
      </w:r>
      <w:r>
        <w:rPr>
          <w:rFonts w:hint="eastAsia" w:ascii="Times New Roman" w:hAnsi="Times New Roman" w:eastAsia="仿宋_GB2312" w:cs="仿宋_GB2312"/>
          <w:sz w:val="30"/>
          <w:szCs w:val="30"/>
        </w:rPr>
        <w:t>1</w:t>
      </w:r>
      <w:r>
        <w:rPr>
          <w:rFonts w:hint="default" w:ascii="Times New Roman" w:hAnsi="Times New Roman" w:eastAsia="仿宋_GB2312" w:cs="仿宋_GB2312"/>
          <w:sz w:val="30"/>
          <w:szCs w:val="30"/>
          <w:lang w:val="en"/>
        </w:rPr>
        <w:t>1</w:t>
      </w:r>
      <w:r>
        <w:rPr>
          <w:rFonts w:hint="eastAsia" w:ascii="Times New Roman" w:hAnsi="Times New Roman" w:eastAsia="仿宋_GB2312" w:cs="仿宋_GB2312"/>
          <w:sz w:val="30"/>
          <w:szCs w:val="30"/>
        </w:rPr>
        <w:t>.卫生健康支出-行政事业单位医疗-行政单位医疗年初预算为4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253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446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847.85元，完成年初预算的104.56%，决算数大于年初预算数的主要原因一是本年度追加了离休干部医药费；二是财政供养人员经费随人员增减变动动态调整。</w:t>
      </w:r>
      <w:r>
        <w:rPr>
          <w:rFonts w:hint="eastAsia" w:ascii="Times New Roman" w:hAnsi="Times New Roman" w:eastAsia="仿宋_GB2312" w:cs="仿宋_GB2312"/>
          <w:sz w:val="30"/>
          <w:szCs w:val="30"/>
        </w:rPr>
        <w:br w:type="textWrapping"/>
      </w:r>
      <w:r>
        <w:rPr>
          <w:rFonts w:hint="default" w:ascii="Times New Roman" w:hAnsi="Times New Roman" w:eastAsia="仿宋_GB2312" w:cs="仿宋_GB2312"/>
          <w:sz w:val="30"/>
          <w:szCs w:val="30"/>
          <w:lang w:val="en"/>
        </w:rPr>
        <w:t xml:space="preserve">    </w:t>
      </w:r>
      <w:r>
        <w:rPr>
          <w:rFonts w:hint="eastAsia" w:ascii="Times New Roman" w:hAnsi="Times New Roman" w:eastAsia="仿宋_GB2312" w:cs="仿宋_GB2312"/>
          <w:sz w:val="30"/>
          <w:szCs w:val="30"/>
        </w:rPr>
        <w:t>1</w:t>
      </w:r>
      <w:r>
        <w:rPr>
          <w:rFonts w:hint="default" w:ascii="Times New Roman" w:hAnsi="Times New Roman" w:eastAsia="仿宋_GB2312" w:cs="仿宋_GB2312"/>
          <w:sz w:val="30"/>
          <w:szCs w:val="30"/>
          <w:lang w:val="en"/>
        </w:rPr>
        <w:t>2</w:t>
      </w:r>
      <w:r>
        <w:rPr>
          <w:rFonts w:hint="eastAsia" w:ascii="Times New Roman" w:hAnsi="Times New Roman" w:eastAsia="仿宋_GB2312" w:cs="仿宋_GB2312"/>
          <w:sz w:val="30"/>
          <w:szCs w:val="30"/>
        </w:rPr>
        <w:t>.卫生健康支出-行政事业单位医疗-公务员医疗补助年初预算为787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000元，支出决算为749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077.68元，完成年初预算的95.18%。决算数小于年初预算数的主要原因是财政供养人员经费随人员增减变动动态调整。</w:t>
      </w:r>
    </w:p>
    <w:p w14:paraId="4BE55BF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6FDA3BDF">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99,240,644.57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年度相比增加435,725.84元，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2023年严格落实</w:t>
      </w:r>
      <w:r>
        <w:rPr>
          <w:rFonts w:hint="eastAsia" w:ascii="Times New Roman" w:hAnsi="Times New Roman" w:eastAsia="仿宋_GB2312" w:cs="仿宋_GB2312"/>
          <w:sz w:val="30"/>
          <w:szCs w:val="30"/>
          <w:lang w:eastAsia="zh-CN"/>
        </w:rPr>
        <w:t>中央八项规定</w:t>
      </w:r>
      <w:r>
        <w:rPr>
          <w:rFonts w:hint="eastAsia" w:ascii="Times New Roman" w:hAnsi="Times New Roman" w:eastAsia="仿宋_GB2312" w:cs="仿宋_GB2312"/>
          <w:sz w:val="30"/>
          <w:szCs w:val="30"/>
        </w:rPr>
        <w:t>精神，厉行节约、反对浪费，进一步压减一般性支出。</w:t>
      </w:r>
      <w:r>
        <w:rPr>
          <w:rFonts w:hint="eastAsia" w:ascii="Times New Roman" w:hAnsi="Times New Roman" w:eastAsia="仿宋_GB2312" w:cs="仿宋_GB2312"/>
          <w:kern w:val="0"/>
          <w:sz w:val="30"/>
          <w:szCs w:val="30"/>
        </w:rPr>
        <w:t>其中：</w:t>
      </w:r>
    </w:p>
    <w:p w14:paraId="38FA92AA">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86,562,872.10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抚恤金、医疗费补助、奖励金。</w:t>
      </w:r>
    </w:p>
    <w:p w14:paraId="4A5F140B">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12,677,772.47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w:t>
      </w:r>
      <w:bookmarkStart w:id="0" w:name="_GoBack"/>
      <w:bookmarkEnd w:id="0"/>
      <w:r>
        <w:rPr>
          <w:rFonts w:hint="eastAsia" w:ascii="Times New Roman" w:hAnsi="Times New Roman" w:eastAsia="仿宋_GB2312" w:cs="仿宋_GB2312"/>
          <w:sz w:val="30"/>
          <w:szCs w:val="30"/>
        </w:rPr>
        <w:t>邮电费、取暖费、物业管理费、差旅费、维修(护)费、租赁费、会议费、培训费、公务接待费、劳务费、工会经费、福利费、公务用车运行维护费、其他交通费用、其他商品和服务支出、办公设备购置。</w:t>
      </w:r>
    </w:p>
    <w:p w14:paraId="5663909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953C0E6">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rPr>
        <w:t>2023年度无政府性基金预算财政拨款收入、支出和结转结余。</w:t>
      </w:r>
      <w:r>
        <w:rPr>
          <w:rFonts w:hint="eastAsia" w:ascii="Times New Roman" w:hAnsi="Times New Roman" w:eastAsia="仿宋_GB2312" w:cs="仿宋_GB2312"/>
          <w:sz w:val="30"/>
          <w:szCs w:val="30"/>
        </w:rPr>
        <w:tab/>
      </w:r>
    </w:p>
    <w:p w14:paraId="45F6F1F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D6A4DE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rPr>
        <w:t>2023年度无国有资本经营预算财政拨款收入、支出和结转结余。</w:t>
      </w:r>
    </w:p>
    <w:p w14:paraId="0E4349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6BD8E32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193FD3BB">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357,000.00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254,266.46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102,733.54</w:t>
      </w:r>
      <w:r>
        <w:rPr>
          <w:rFonts w:hint="eastAsia" w:ascii="Times New Roman" w:hAnsi="Times New Roman" w:eastAsia="仿宋_GB2312" w:cs="仿宋_GB2312"/>
          <w:kern w:val="0"/>
          <w:sz w:val="30"/>
          <w:szCs w:val="30"/>
        </w:rPr>
        <w:t>元，完成预算的71.22</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46,338.46元，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22.29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落实真过紧日子要求，严控“三公”经费支出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疫情防控常态化后，公务出行活动较上年增加。</w:t>
      </w:r>
    </w:p>
    <w:p w14:paraId="5D58FCD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EFF95BC">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未安排因公出国境活动。</w:t>
      </w:r>
    </w:p>
    <w:p w14:paraId="449EBF1C">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7DA5F67">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247,000.00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246,886.46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113.54</w:t>
      </w:r>
      <w:r>
        <w:rPr>
          <w:rFonts w:hint="eastAsia" w:ascii="Times New Roman" w:hAnsi="Times New Roman" w:eastAsia="仿宋_GB2312" w:cs="仿宋_GB2312"/>
          <w:kern w:val="0"/>
          <w:sz w:val="30"/>
          <w:szCs w:val="30"/>
        </w:rPr>
        <w:t>元，完成预算的99.95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39,678.46元，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19.15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落实真过紧日子要求，严控公务用车运行维护费支出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的主要原因是：一是</w:t>
      </w:r>
      <w:r>
        <w:rPr>
          <w:rFonts w:hint="eastAsia" w:ascii="Times New Roman" w:hAnsi="Times New Roman" w:eastAsia="仿宋_GB2312" w:cs="仿宋_GB2312"/>
          <w:sz w:val="30"/>
          <w:szCs w:val="30"/>
        </w:rPr>
        <w:t>疫情防控常态化后，公务出行活动较上年增加；二是公车使用年限较长，维修维护费用增加。</w:t>
      </w:r>
      <w:r>
        <w:rPr>
          <w:rFonts w:hint="eastAsia" w:ascii="Times New Roman" w:hAnsi="Times New Roman" w:eastAsia="仿宋_GB2312" w:cs="仿宋_GB2312"/>
          <w:kern w:val="0"/>
          <w:sz w:val="30"/>
          <w:szCs w:val="30"/>
        </w:rPr>
        <w:t>其中：</w:t>
      </w:r>
    </w:p>
    <w:p w14:paraId="39E7FB3B">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247,000.00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246,886.46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113.54</w:t>
      </w:r>
      <w:r>
        <w:rPr>
          <w:rFonts w:hint="eastAsia" w:ascii="Times New Roman" w:hAnsi="Times New Roman" w:eastAsia="仿宋_GB2312" w:cs="仿宋_GB2312"/>
          <w:kern w:val="0"/>
          <w:sz w:val="30"/>
          <w:szCs w:val="30"/>
        </w:rPr>
        <w:t>元，完成预算的99.95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39,678.46元，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19.15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落实真过紧日子要求，严控公务用车运行维护费支出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一是疫情防控常态化后，公务出行活动较上年增加；二是公车使用年限较长，维修维护费用增加。</w:t>
      </w:r>
    </w:p>
    <w:p w14:paraId="4B989F9D">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13</w:t>
      </w:r>
      <w:r>
        <w:rPr>
          <w:rFonts w:hint="eastAsia" w:ascii="Times New Roman" w:hAnsi="Times New Roman" w:eastAsia="仿宋_GB2312" w:cs="仿宋_GB2312"/>
          <w:kern w:val="0"/>
          <w:sz w:val="30"/>
          <w:szCs w:val="30"/>
        </w:rPr>
        <w:t>辆。</w:t>
      </w:r>
    </w:p>
    <w:p w14:paraId="4B12E0D8">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的主要原因是：本年未用财政拨款经费购置公务用车。</w:t>
      </w:r>
    </w:p>
    <w:p w14:paraId="392908E9">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BCA9D89">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7,380.00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2,620.00</w:t>
      </w:r>
      <w:r>
        <w:rPr>
          <w:rFonts w:hint="eastAsia" w:ascii="Times New Roman" w:hAnsi="Times New Roman" w:eastAsia="仿宋_GB2312" w:cs="仿宋_GB2312"/>
          <w:kern w:val="0"/>
          <w:sz w:val="30"/>
          <w:szCs w:val="30"/>
        </w:rPr>
        <w:t>元，完成预算的73.8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6,660.00元，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925.0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落实真过紧日子要求，严控公务接待费支出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疫情防控常态化后，公务接待活动较上年增加。</w:t>
      </w:r>
    </w:p>
    <w:p w14:paraId="613EA146">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13</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123</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652C02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445B8543">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12,677,772.47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年减少21,876.85元，降低0.17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严格落实</w:t>
      </w:r>
      <w:r>
        <w:rPr>
          <w:rFonts w:hint="eastAsia" w:ascii="Times New Roman" w:hAnsi="Times New Roman" w:eastAsia="仿宋_GB2312" w:cs="仿宋_GB2312"/>
          <w:sz w:val="30"/>
          <w:szCs w:val="30"/>
          <w:lang w:eastAsia="zh-CN"/>
        </w:rPr>
        <w:t>中央八项规定</w:t>
      </w:r>
      <w:r>
        <w:rPr>
          <w:rFonts w:hint="eastAsia" w:ascii="Times New Roman" w:hAnsi="Times New Roman" w:eastAsia="仿宋_GB2312" w:cs="仿宋_GB2312"/>
          <w:sz w:val="30"/>
          <w:szCs w:val="30"/>
        </w:rPr>
        <w:t>精神，厉行节约、反对浪费，进一步压减机关运行经费支出。</w:t>
      </w:r>
    </w:p>
    <w:p w14:paraId="6D68225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1FB45AA0">
      <w:pPr>
        <w:autoSpaceDE w:val="0"/>
        <w:autoSpaceDN w:val="0"/>
        <w:adjustRightInd w:val="0"/>
        <w:spacing w:line="600" w:lineRule="exact"/>
        <w:ind w:firstLine="600"/>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21,389,396.84</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430,300.00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20,959,096.84</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10,935,624.84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51.13%</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10,935,624.84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51.13%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u w:val="none"/>
        </w:rPr>
        <w:t>货物采购授予中小企业合同金额占货物支出金额的</w:t>
      </w:r>
      <w:r>
        <w:rPr>
          <w:rFonts w:hint="eastAsia" w:ascii="Times New Roman" w:hAnsi="Times New Roman" w:eastAsia="仿宋_GB2312" w:cs="仿宋_GB2312"/>
          <w:sz w:val="30"/>
          <w:szCs w:val="30"/>
          <w:u w:val="none"/>
        </w:rPr>
        <w:t>0.0</w:t>
      </w:r>
      <w:r>
        <w:rPr>
          <w:rFonts w:ascii="Times New Roman" w:hAnsi="Times New Roman" w:eastAsia="仿宋_GB2312" w:cs="仿宋_GB2312"/>
          <w:kern w:val="0"/>
          <w:sz w:val="30"/>
          <w:szCs w:val="30"/>
          <w:u w:val="none"/>
        </w:rPr>
        <w:t>%</w:t>
      </w:r>
      <w:r>
        <w:rPr>
          <w:rFonts w:hint="eastAsia" w:ascii="Times New Roman" w:hAnsi="Times New Roman" w:eastAsia="仿宋_GB2312" w:cs="仿宋_GB2312"/>
          <w:kern w:val="0"/>
          <w:sz w:val="30"/>
          <w:szCs w:val="30"/>
          <w:u w:val="none"/>
        </w:rPr>
        <w:t>，工程采购授予中小企业合同金额占工程支出金额的</w:t>
      </w:r>
      <w:r>
        <w:rPr>
          <w:rFonts w:hint="eastAsia" w:ascii="Times New Roman" w:hAnsi="Times New Roman" w:eastAsia="仿宋_GB2312" w:cs="仿宋_GB2312"/>
          <w:sz w:val="30"/>
          <w:szCs w:val="30"/>
          <w:u w:val="none"/>
        </w:rPr>
        <w:t>0.0</w:t>
      </w:r>
      <w:r>
        <w:rPr>
          <w:rFonts w:ascii="Times New Roman" w:hAnsi="Times New Roman" w:eastAsia="仿宋_GB2312" w:cs="仿宋_GB2312"/>
          <w:kern w:val="0"/>
          <w:sz w:val="30"/>
          <w:szCs w:val="30"/>
          <w:u w:val="none"/>
        </w:rPr>
        <w:t>%</w:t>
      </w:r>
      <w:r>
        <w:rPr>
          <w:rFonts w:hint="eastAsia" w:ascii="Times New Roman" w:hAnsi="Times New Roman" w:eastAsia="仿宋_GB2312" w:cs="仿宋_GB2312"/>
          <w:kern w:val="0"/>
          <w:sz w:val="30"/>
          <w:szCs w:val="30"/>
          <w:u w:val="none"/>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52.18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7C01821C">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0497DECA">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日，天津市司法局</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color w:val="000000"/>
          <w:kern w:val="0"/>
          <w:sz w:val="30"/>
          <w:szCs w:val="30"/>
        </w:rPr>
        <w:t>共有车辆</w:t>
      </w:r>
      <w:r>
        <w:rPr>
          <w:rFonts w:hint="eastAsia" w:ascii="Times New Roman" w:hAnsi="Times New Roman" w:eastAsia="仿宋_GB2312" w:cs="Times New Roman"/>
          <w:kern w:val="0"/>
          <w:sz w:val="30"/>
          <w:szCs w:val="30"/>
        </w:rPr>
        <w:t>13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6</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4</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台（套）。</w:t>
      </w:r>
    </w:p>
    <w:p w14:paraId="7CEDCD5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2E4B838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天津市司法局</w:t>
      </w:r>
      <w:r>
        <w:rPr>
          <w:rFonts w:hint="eastAsia" w:ascii="Times New Roman" w:hAnsi="Times New Roman" w:eastAsia="仿宋_GB2312" w:cs="仿宋_GB2312"/>
          <w:sz w:val="30"/>
          <w:szCs w:val="30"/>
          <w:lang w:eastAsia="zh-CN"/>
        </w:rPr>
        <w:t>（本级）</w:t>
      </w:r>
      <w:r>
        <w:rPr>
          <w:rFonts w:ascii="Times New Roman" w:hAnsi="Times New Roman" w:eastAsia="仿宋_GB2312" w:cs="仿宋_GB2312"/>
          <w:kern w:val="0"/>
          <w:sz w:val="30"/>
          <w:szCs w:val="30"/>
        </w:rPr>
        <w:t>2023年度已对20个市级项目开展绩效自评，涉及金额</w:t>
      </w:r>
      <w:r>
        <w:rPr>
          <w:rFonts w:hint="eastAsia" w:ascii="Times New Roman" w:hAnsi="Times New Roman" w:eastAsia="仿宋_GB2312" w:cs="仿宋_GB2312"/>
          <w:kern w:val="0"/>
          <w:sz w:val="30"/>
          <w:szCs w:val="30"/>
          <w:lang w:val="en-US" w:eastAsia="zh-CN"/>
        </w:rPr>
        <w:t>114</w:t>
      </w:r>
      <w:r>
        <w:rPr>
          <w:rFonts w:hint="default" w:ascii="Times New Roman" w:hAnsi="Times New Roman" w:eastAsia="仿宋_GB2312" w:cs="仿宋_GB2312"/>
          <w:kern w:val="0"/>
          <w:sz w:val="30"/>
          <w:szCs w:val="30"/>
          <w:lang w:val="en" w:eastAsia="zh-CN"/>
        </w:rPr>
        <w:t>,</w:t>
      </w:r>
      <w:r>
        <w:rPr>
          <w:rFonts w:hint="eastAsia" w:ascii="Times New Roman" w:hAnsi="Times New Roman" w:eastAsia="仿宋_GB2312" w:cs="仿宋_GB2312"/>
          <w:kern w:val="0"/>
          <w:sz w:val="30"/>
          <w:szCs w:val="30"/>
          <w:lang w:val="en-US" w:eastAsia="zh-CN"/>
        </w:rPr>
        <w:t>574</w:t>
      </w:r>
      <w:r>
        <w:rPr>
          <w:rFonts w:hint="default" w:ascii="Times New Roman" w:hAnsi="Times New Roman" w:eastAsia="仿宋_GB2312" w:cs="仿宋_GB2312"/>
          <w:kern w:val="0"/>
          <w:sz w:val="30"/>
          <w:szCs w:val="30"/>
          <w:lang w:val="en" w:eastAsia="zh-CN"/>
        </w:rPr>
        <w:t>,</w:t>
      </w:r>
      <w:r>
        <w:rPr>
          <w:rFonts w:hint="eastAsia" w:ascii="Times New Roman" w:hAnsi="Times New Roman" w:eastAsia="仿宋_GB2312" w:cs="仿宋_GB2312"/>
          <w:kern w:val="0"/>
          <w:sz w:val="30"/>
          <w:szCs w:val="30"/>
          <w:lang w:val="en-US" w:eastAsia="zh-CN"/>
        </w:rPr>
        <w:t>233.41元</w:t>
      </w:r>
      <w:r>
        <w:rPr>
          <w:rFonts w:ascii="Times New Roman" w:hAnsi="Times New Roman" w:eastAsia="仿宋_GB2312" w:cs="仿宋_GB2312"/>
          <w:kern w:val="0"/>
          <w:sz w:val="30"/>
          <w:szCs w:val="30"/>
        </w:rPr>
        <w:t>，自评结果已随部门决算一并公开；已对2个项目开展部门评价，涉及金额</w:t>
      </w:r>
      <w:r>
        <w:rPr>
          <w:rFonts w:hint="eastAsia" w:ascii="Times New Roman" w:hAnsi="Times New Roman" w:eastAsia="仿宋_GB2312" w:cs="仿宋_GB2312"/>
          <w:kern w:val="0"/>
          <w:sz w:val="30"/>
          <w:szCs w:val="30"/>
          <w:lang w:val="en-US" w:eastAsia="zh-CN"/>
        </w:rPr>
        <w:t>14,774,500.00</w:t>
      </w:r>
      <w:r>
        <w:rPr>
          <w:rFonts w:ascii="Times New Roman" w:hAnsi="Times New Roman" w:eastAsia="仿宋_GB2312" w:cs="仿宋_GB2312"/>
          <w:kern w:val="0"/>
          <w:sz w:val="30"/>
          <w:szCs w:val="30"/>
        </w:rPr>
        <w:t>元。</w:t>
      </w:r>
    </w:p>
    <w:p w14:paraId="1E446122">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32E778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天津市司法局(本级)不属于乡、镇、街级单位，不涉及公开2023年度教育、医疗卫生、社会保障和就业、住房保障、涉农补贴等民生支出情况。</w:t>
      </w:r>
    </w:p>
    <w:p w14:paraId="798F2CD0">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6FAF4BF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77E7F125">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006246B">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BB20EC3">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ED7E921">
      <w:pPr>
        <w:autoSpaceDE w:val="0"/>
        <w:autoSpaceDN w:val="0"/>
        <w:adjustRightInd w:val="0"/>
        <w:spacing w:line="600" w:lineRule="exact"/>
        <w:ind w:firstLine="600"/>
        <w:rPr>
          <w:rFonts w:hint="eastAsia"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00268F0B">
      <w:pPr>
        <w:spacing w:line="600" w:lineRule="exact"/>
        <w:ind w:firstLine="600"/>
        <w:jc w:val="both"/>
        <w:rPr>
          <w:rFonts w:hint="default" w:ascii="Times New Roman" w:hAnsi="Times New Roman" w:eastAsia="仿宋_GB2312" w:cs="Times New Roman"/>
          <w:sz w:val="30"/>
          <w:szCs w:val="24"/>
        </w:rPr>
      </w:pPr>
      <w:r>
        <w:rPr>
          <w:rFonts w:hint="default" w:ascii="Times New Roman" w:hAnsi="Times New Roman" w:eastAsia="仿宋_GB2312" w:cs="Times New Roman"/>
          <w:sz w:val="30"/>
          <w:szCs w:val="24"/>
        </w:rPr>
        <w:t>4.基层司法业务。是指各级司法行政部门用于基层业务的支出，包括基层工作指导费、调解费、安置帮教费、司法所经费和公共法律服务平台相关支出、人民陪审员选任管理费用、人民监督员选任管理费用等支出。</w:t>
      </w:r>
    </w:p>
    <w:p w14:paraId="6498FEE4">
      <w:pPr>
        <w:autoSpaceDE w:val="0"/>
        <w:autoSpaceDN w:val="0"/>
        <w:adjustRightInd w:val="0"/>
        <w:spacing w:line="600" w:lineRule="exact"/>
        <w:ind w:firstLine="600"/>
        <w:rPr>
          <w:rFonts w:hint="eastAsia" w:ascii="Times New Roman" w:hAnsi="Times New Roman" w:eastAsia="仿宋_GB2312" w:cs="仿宋_GB2312"/>
          <w:kern w:val="0"/>
          <w:sz w:val="30"/>
          <w:szCs w:val="3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6C0A35-E19F-41A4-ABF8-1B952AAE7C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EBBFCC6-4ACD-455B-B23B-7FFCBCE7D44A}"/>
  </w:font>
  <w:font w:name="方正小标宋简体">
    <w:panose1 w:val="03000509000000000000"/>
    <w:charset w:val="86"/>
    <w:family w:val="auto"/>
    <w:pitch w:val="default"/>
    <w:sig w:usb0="00000001" w:usb1="080E0000" w:usb2="00000000" w:usb3="00000000" w:csb0="00040000" w:csb1="00000000"/>
    <w:embedRegular r:id="rId3" w:fontKey="{897DD14A-5D46-4814-9ACB-AA78E46E26A5}"/>
  </w:font>
  <w:font w:name="仿宋_GB2312">
    <w:panose1 w:val="02010609030101010101"/>
    <w:charset w:val="86"/>
    <w:family w:val="modern"/>
    <w:pitch w:val="default"/>
    <w:sig w:usb0="00000001" w:usb1="080E0000" w:usb2="00000000" w:usb3="00000000" w:csb0="00040000" w:csb1="00000000"/>
    <w:embedRegular r:id="rId4" w:fontKey="{72E22ECF-881C-425C-9BC7-3183415A9631}"/>
  </w:font>
  <w:font w:name="楷体">
    <w:panose1 w:val="02010609060101010101"/>
    <w:charset w:val="86"/>
    <w:family w:val="modern"/>
    <w:pitch w:val="default"/>
    <w:sig w:usb0="800002BF" w:usb1="38CF7CFA" w:usb2="00000016" w:usb3="00000000" w:csb0="00040001" w:csb1="00000000"/>
    <w:embedRegular r:id="rId5" w:fontKey="{00DD7AF4-9EA7-4C64-A404-78470AF1DA94}"/>
  </w:font>
  <w:font w:name="楷体_GB2312">
    <w:altName w:val="楷体"/>
    <w:panose1 w:val="02010609030101010101"/>
    <w:charset w:val="86"/>
    <w:family w:val="modern"/>
    <w:pitch w:val="default"/>
    <w:sig w:usb0="00000000" w:usb1="00000000" w:usb2="00000010" w:usb3="00000000" w:csb0="00040000" w:csb1="00000000"/>
    <w:embedRegular r:id="rId6" w:fontKey="{4269F1BB-1738-47FA-8550-2BA46FA92F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97B1F"/>
    <w:rsid w:val="003B25FB"/>
    <w:rsid w:val="00420FD0"/>
    <w:rsid w:val="00494147"/>
    <w:rsid w:val="004A482F"/>
    <w:rsid w:val="004F39BF"/>
    <w:rsid w:val="005062D7"/>
    <w:rsid w:val="005175E6"/>
    <w:rsid w:val="00525157"/>
    <w:rsid w:val="005349A2"/>
    <w:rsid w:val="00552DD0"/>
    <w:rsid w:val="00565798"/>
    <w:rsid w:val="00575537"/>
    <w:rsid w:val="005D1090"/>
    <w:rsid w:val="005D1367"/>
    <w:rsid w:val="005D3F56"/>
    <w:rsid w:val="005E0DF3"/>
    <w:rsid w:val="00600A18"/>
    <w:rsid w:val="00654D17"/>
    <w:rsid w:val="006623EC"/>
    <w:rsid w:val="006A094D"/>
    <w:rsid w:val="006D2409"/>
    <w:rsid w:val="006E65DB"/>
    <w:rsid w:val="007329C8"/>
    <w:rsid w:val="007543AC"/>
    <w:rsid w:val="00776FF3"/>
    <w:rsid w:val="0078156E"/>
    <w:rsid w:val="00786E74"/>
    <w:rsid w:val="007D1285"/>
    <w:rsid w:val="007E49E1"/>
    <w:rsid w:val="007F6DA7"/>
    <w:rsid w:val="008174D5"/>
    <w:rsid w:val="0083395A"/>
    <w:rsid w:val="00885126"/>
    <w:rsid w:val="00890DDE"/>
    <w:rsid w:val="0089698B"/>
    <w:rsid w:val="008D48A9"/>
    <w:rsid w:val="00911AC6"/>
    <w:rsid w:val="00941A30"/>
    <w:rsid w:val="00977DCC"/>
    <w:rsid w:val="009820CF"/>
    <w:rsid w:val="00982A8B"/>
    <w:rsid w:val="0098300F"/>
    <w:rsid w:val="009A7ED3"/>
    <w:rsid w:val="009D36CD"/>
    <w:rsid w:val="009D74D7"/>
    <w:rsid w:val="009F5C80"/>
    <w:rsid w:val="00A57AE7"/>
    <w:rsid w:val="00AF71AE"/>
    <w:rsid w:val="00B2255B"/>
    <w:rsid w:val="00B33C70"/>
    <w:rsid w:val="00B75228"/>
    <w:rsid w:val="00B811F1"/>
    <w:rsid w:val="00B81B9F"/>
    <w:rsid w:val="00BC763A"/>
    <w:rsid w:val="00BC7D6F"/>
    <w:rsid w:val="00BD3CAC"/>
    <w:rsid w:val="00BF697A"/>
    <w:rsid w:val="00C52E77"/>
    <w:rsid w:val="00C60A8D"/>
    <w:rsid w:val="00C65A44"/>
    <w:rsid w:val="00C76AC3"/>
    <w:rsid w:val="00C83EB4"/>
    <w:rsid w:val="00D4505A"/>
    <w:rsid w:val="00D50406"/>
    <w:rsid w:val="00D65B41"/>
    <w:rsid w:val="00DA3DB5"/>
    <w:rsid w:val="00DB62C5"/>
    <w:rsid w:val="00DC3234"/>
    <w:rsid w:val="00DC3CD0"/>
    <w:rsid w:val="00DD60B5"/>
    <w:rsid w:val="00DE04C2"/>
    <w:rsid w:val="00DF7A7B"/>
    <w:rsid w:val="00E17AE2"/>
    <w:rsid w:val="00E27B4B"/>
    <w:rsid w:val="00E50F8C"/>
    <w:rsid w:val="00E7602B"/>
    <w:rsid w:val="00E964B2"/>
    <w:rsid w:val="00EA6549"/>
    <w:rsid w:val="00F007FE"/>
    <w:rsid w:val="00F31540"/>
    <w:rsid w:val="00F93E30"/>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36C6BDF"/>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1899"/>
    <w:rsid w:val="1EC5396A"/>
    <w:rsid w:val="1EFB0588"/>
    <w:rsid w:val="20DB5BFD"/>
    <w:rsid w:val="21365D81"/>
    <w:rsid w:val="21556D90"/>
    <w:rsid w:val="21C24E94"/>
    <w:rsid w:val="21D73FEC"/>
    <w:rsid w:val="21ED7D07"/>
    <w:rsid w:val="22592A24"/>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2B1A2F"/>
    <w:rsid w:val="313F372D"/>
    <w:rsid w:val="32146967"/>
    <w:rsid w:val="32443D30"/>
    <w:rsid w:val="32672F3B"/>
    <w:rsid w:val="33032C66"/>
    <w:rsid w:val="332D3FC0"/>
    <w:rsid w:val="33FB393B"/>
    <w:rsid w:val="34BD6E42"/>
    <w:rsid w:val="354D7E20"/>
    <w:rsid w:val="35747E49"/>
    <w:rsid w:val="35823AFA"/>
    <w:rsid w:val="358C1096"/>
    <w:rsid w:val="35B6328D"/>
    <w:rsid w:val="35F44AE6"/>
    <w:rsid w:val="36144696"/>
    <w:rsid w:val="36580FD3"/>
    <w:rsid w:val="381E22EE"/>
    <w:rsid w:val="394418E0"/>
    <w:rsid w:val="3AF76503"/>
    <w:rsid w:val="3B0209DD"/>
    <w:rsid w:val="3B0C198B"/>
    <w:rsid w:val="3B483C6E"/>
    <w:rsid w:val="3B677B08"/>
    <w:rsid w:val="3B776F10"/>
    <w:rsid w:val="3B7C7A57"/>
    <w:rsid w:val="3B8E1539"/>
    <w:rsid w:val="3D600CB3"/>
    <w:rsid w:val="3E426F14"/>
    <w:rsid w:val="3EB42189"/>
    <w:rsid w:val="3EC62D97"/>
    <w:rsid w:val="3EEF0B4C"/>
    <w:rsid w:val="3EF06066"/>
    <w:rsid w:val="3EF16375"/>
    <w:rsid w:val="3F2006FA"/>
    <w:rsid w:val="3F6D636A"/>
    <w:rsid w:val="40CF0629"/>
    <w:rsid w:val="4137238C"/>
    <w:rsid w:val="41CC0838"/>
    <w:rsid w:val="43612B5A"/>
    <w:rsid w:val="43805C0B"/>
    <w:rsid w:val="43B835F7"/>
    <w:rsid w:val="44552CED"/>
    <w:rsid w:val="4469669F"/>
    <w:rsid w:val="44EB17AA"/>
    <w:rsid w:val="45984C48"/>
    <w:rsid w:val="47727F60"/>
    <w:rsid w:val="485D29BF"/>
    <w:rsid w:val="49374433"/>
    <w:rsid w:val="49DA103E"/>
    <w:rsid w:val="49F033BE"/>
    <w:rsid w:val="4A2319E6"/>
    <w:rsid w:val="4A8E57CD"/>
    <w:rsid w:val="4BDF572C"/>
    <w:rsid w:val="4CA13CE1"/>
    <w:rsid w:val="4CD450D8"/>
    <w:rsid w:val="4D14664A"/>
    <w:rsid w:val="4D210FC7"/>
    <w:rsid w:val="4D720D77"/>
    <w:rsid w:val="4DB9688D"/>
    <w:rsid w:val="4E4E3945"/>
    <w:rsid w:val="4E8C7B5A"/>
    <w:rsid w:val="4F167E2F"/>
    <w:rsid w:val="4F2953A8"/>
    <w:rsid w:val="4F391364"/>
    <w:rsid w:val="4FA424E7"/>
    <w:rsid w:val="4FBD62FD"/>
    <w:rsid w:val="4FD337AC"/>
    <w:rsid w:val="4FE523CE"/>
    <w:rsid w:val="5236167C"/>
    <w:rsid w:val="52A37398"/>
    <w:rsid w:val="52C553E8"/>
    <w:rsid w:val="53C102A5"/>
    <w:rsid w:val="54380029"/>
    <w:rsid w:val="54A61249"/>
    <w:rsid w:val="54F16968"/>
    <w:rsid w:val="55AC416B"/>
    <w:rsid w:val="564C0516"/>
    <w:rsid w:val="56D025AE"/>
    <w:rsid w:val="5713248B"/>
    <w:rsid w:val="57833AC4"/>
    <w:rsid w:val="578735B4"/>
    <w:rsid w:val="58C3061C"/>
    <w:rsid w:val="58E93DFA"/>
    <w:rsid w:val="599E4BE5"/>
    <w:rsid w:val="5A1C0F73"/>
    <w:rsid w:val="5A964C59"/>
    <w:rsid w:val="5C170425"/>
    <w:rsid w:val="5CD612EB"/>
    <w:rsid w:val="5D032E6E"/>
    <w:rsid w:val="5DA87DE0"/>
    <w:rsid w:val="5DC66F7C"/>
    <w:rsid w:val="5DFB2606"/>
    <w:rsid w:val="5DFF1964"/>
    <w:rsid w:val="5E015742"/>
    <w:rsid w:val="5EB1144C"/>
    <w:rsid w:val="5EF37781"/>
    <w:rsid w:val="5F5F0972"/>
    <w:rsid w:val="5F6D7131"/>
    <w:rsid w:val="5F7856C5"/>
    <w:rsid w:val="5FF67529"/>
    <w:rsid w:val="615900E7"/>
    <w:rsid w:val="6175447D"/>
    <w:rsid w:val="61D75AE1"/>
    <w:rsid w:val="620B43D3"/>
    <w:rsid w:val="624C1682"/>
    <w:rsid w:val="63B80927"/>
    <w:rsid w:val="643C1F0A"/>
    <w:rsid w:val="644D16E1"/>
    <w:rsid w:val="64925346"/>
    <w:rsid w:val="654D2EBE"/>
    <w:rsid w:val="654E5711"/>
    <w:rsid w:val="656942F9"/>
    <w:rsid w:val="65B558C0"/>
    <w:rsid w:val="661029C7"/>
    <w:rsid w:val="665D659A"/>
    <w:rsid w:val="667274BD"/>
    <w:rsid w:val="66BC2A82"/>
    <w:rsid w:val="672E57FA"/>
    <w:rsid w:val="68200AB4"/>
    <w:rsid w:val="68C169D0"/>
    <w:rsid w:val="6B4F5D3F"/>
    <w:rsid w:val="6B797260"/>
    <w:rsid w:val="6B963EB9"/>
    <w:rsid w:val="6BBB51FE"/>
    <w:rsid w:val="6BF54B38"/>
    <w:rsid w:val="6C054650"/>
    <w:rsid w:val="6C1D5E3D"/>
    <w:rsid w:val="6CF70A69"/>
    <w:rsid w:val="6CFE17CB"/>
    <w:rsid w:val="6D433682"/>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8154D2"/>
    <w:rsid w:val="77BDF52C"/>
    <w:rsid w:val="79437E94"/>
    <w:rsid w:val="79B7155B"/>
    <w:rsid w:val="79DC07A5"/>
    <w:rsid w:val="7ACA53E2"/>
    <w:rsid w:val="7AFF21E5"/>
    <w:rsid w:val="7B143565"/>
    <w:rsid w:val="7E2E7A36"/>
    <w:rsid w:val="7E582D05"/>
    <w:rsid w:val="7E703A39"/>
    <w:rsid w:val="7F3217A8"/>
    <w:rsid w:val="7FDD7966"/>
    <w:rsid w:val="7FFDB580"/>
    <w:rsid w:val="B4BDD789"/>
    <w:rsid w:val="C7FF529F"/>
    <w:rsid w:val="CEFF4DFC"/>
    <w:rsid w:val="EFF6E615"/>
    <w:rsid w:val="FAD7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5029</Words>
  <Characters>6126</Characters>
  <Lines>44</Lines>
  <Paragraphs>12</Paragraphs>
  <TotalTime>6</TotalTime>
  <ScaleCrop>false</ScaleCrop>
  <LinksUpToDate>false</LinksUpToDate>
  <CharactersWithSpaces>6200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2024-08-28T09:28:00Z</dcterms:created>
  <dc:creator>office</dc:creator>
  <cp:lastModifiedBy>若楚槿生</cp:lastModifiedBy>
  <dcterms:modified xsi:type="dcterms:W3CDTF">2025-03-12T07:27:27Z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A44E0A178634409BBBA50D5636087390_13</vt:lpwstr>
  </property>
  <property fmtid="{D5CDD505-2E9C-101B-9397-08002B2CF9AE}" pid="4" name="KSOTemplateDocerSaveRecord">
    <vt:lpwstr>eyJoZGlkIjoiYWQ1ZWU4NGIyZWI4MGZlMGRkOGIwNTczN2YzY2MzNDgiLCJ1c2VySWQiOiI1MTQ5NDQxNDUifQ==</vt:lpwstr>
  </property>
</Properties>
</file>