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天津市法律援助中心2023年度部门决算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hint="eastAsia" w:ascii="Times New Roman" w:hAnsi="Times New Roman" w:eastAsia="黑体" w:cs="黑体"/>
          <w:kern w:val="0"/>
          <w:sz w:val="44"/>
          <w:szCs w:val="44"/>
        </w:rPr>
        <w:sectPr>
          <w:headerReference r:id="rId3" w:type="default"/>
          <w:footerReference r:id="rId4" w:type="default"/>
          <w:pgSz w:w="12240" w:h="15840"/>
          <w:pgMar w:top="1440" w:right="1800" w:bottom="1440" w:left="1800" w:header="720" w:footer="720" w:gutter="0"/>
          <w:lnNumType w:countBy="0" w:distance="360"/>
          <w:cols w:space="720" w:num="1"/>
        </w:sectPr>
      </w:pPr>
    </w:p>
    <w:p>
      <w:pPr>
        <w:autoSpaceDE w:val="0"/>
        <w:autoSpaceDN w:val="0"/>
        <w:adjustRightInd w:val="0"/>
        <w:spacing w:line="600" w:lineRule="exact"/>
        <w:jc w:val="center"/>
        <w:rPr>
          <w:rFonts w:hint="eastAsia" w:ascii="Times New Roman" w:hAnsi="Times New Roman" w:eastAsia="黑体" w:cs="黑体"/>
          <w:kern w:val="0"/>
          <w:sz w:val="44"/>
          <w:szCs w:val="44"/>
        </w:rPr>
      </w:pPr>
    </w:p>
    <w:p>
      <w:pPr>
        <w:autoSpaceDE w:val="0"/>
        <w:autoSpaceDN w:val="0"/>
        <w:adjustRightInd w:val="0"/>
        <w:spacing w:line="600" w:lineRule="exact"/>
        <w:jc w:val="center"/>
        <w:rPr>
          <w:rFonts w:ascii="Times New Roman" w:hAnsi="Times New Roman" w:eastAsia="黑体" w:cs="黑体"/>
          <w:sz w:val="30"/>
          <w:szCs w:val="30"/>
          <w:lang w:val="zh-CN"/>
        </w:rPr>
      </w:pPr>
      <w:r>
        <w:rPr>
          <w:rFonts w:hint="eastAsia" w:ascii="Times New Roman" w:hAnsi="Times New Roman" w:eastAsia="黑体" w:cs="黑体"/>
          <w:kern w:val="0"/>
          <w:sz w:val="44"/>
          <w:szCs w:val="44"/>
        </w:rPr>
        <w:t>目录</w:t>
      </w:r>
    </w:p>
    <w:p>
      <w:pPr>
        <w:tabs>
          <w:tab w:val="right" w:leader="dot" w:pos="8306"/>
        </w:tabs>
        <w:autoSpaceDE w:val="0"/>
        <w:autoSpaceDN w:val="0"/>
        <w:adjustRightInd w:val="0"/>
        <w:spacing w:line="700" w:lineRule="exact"/>
        <w:jc w:val="left"/>
        <w:rPr>
          <w:rFonts w:hint="eastAsia" w:ascii="Times New Roman" w:hAnsi="Times New Roman" w:eastAsia="方正小标宋简体" w:cs="方正小标宋简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黑体" w:cs="黑体"/>
          <w:sz w:val="30"/>
          <w:szCs w:val="30"/>
          <w:lang w:val="zh-CN"/>
        </w:rPr>
        <w:sectPr>
          <w:footerReference r:id="rId5" w:type="default"/>
          <w:pgSz w:w="12240" w:h="15840"/>
          <w:pgMar w:top="1440" w:right="1800" w:bottom="1440" w:left="1800" w:header="720" w:footer="720" w:gutter="0"/>
          <w:pgNumType w:start="1"/>
          <w:cols w:space="720" w:num="1"/>
        </w:sect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bookmarkStart w:id="0" w:name="_Toc31954"/>
      <w:r>
        <w:rPr>
          <w:rFonts w:hint="eastAsia" w:ascii="方正小标宋简体" w:hAnsi="方正小标宋简体" w:eastAsia="方正小标宋简体"/>
          <w:kern w:val="44"/>
          <w:sz w:val="44"/>
          <w:szCs w:val="24"/>
          <w:lang w:val="en-US"/>
        </w:rPr>
        <w:t>第一部分  概 况</w:t>
      </w:r>
      <w:bookmarkEnd w:id="0"/>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pStyle w:val="3"/>
        <w:bidi w:val="0"/>
      </w:pPr>
      <w:bookmarkStart w:id="1" w:name="_Toc29606"/>
      <w:r>
        <w:rPr>
          <w:rFonts w:hint="eastAsia"/>
        </w:rPr>
        <w:t>一、主要职责</w:t>
      </w:r>
      <w:bookmarkEnd w:id="1"/>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bookmarkStart w:id="2" w:name="_Toc32736"/>
      <w:r>
        <w:rPr>
          <w:rFonts w:hint="eastAsia" w:ascii="Times New Roman" w:hAnsi="Times New Roman" w:eastAsia="仿宋_GB2312" w:cs="仿宋_GB2312"/>
          <w:kern w:val="0"/>
          <w:sz w:val="30"/>
          <w:szCs w:val="30"/>
        </w:rPr>
        <w:t>天津市法律援助中心成立于1997年，是参照公务员管理的全额拨款事业单位。其主要职责：承担法律援助申请的受理、审查等相关事务性工作，安排人员提供法律援助；承办通知辩护的法律援助案件；负责“12348”公共法律服务热线咨询等相关工作。</w:t>
      </w:r>
      <w:bookmarkEnd w:id="2"/>
    </w:p>
    <w:p>
      <w:pPr>
        <w:pStyle w:val="3"/>
        <w:bidi w:val="0"/>
      </w:pPr>
      <w:bookmarkStart w:id="3" w:name="_Toc2755"/>
      <w:r>
        <w:rPr>
          <w:rFonts w:hint="eastAsia"/>
        </w:rPr>
        <w:t>二、机构设置</w:t>
      </w:r>
      <w:bookmarkEnd w:id="3"/>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lang w:eastAsia="zh-CN"/>
        </w:rPr>
      </w:pPr>
      <w:bookmarkStart w:id="4" w:name="_Toc5717"/>
      <w:r>
        <w:rPr>
          <w:rFonts w:hint="eastAsia" w:ascii="Times New Roman" w:hAnsi="Times New Roman" w:eastAsia="仿宋_GB2312" w:cs="仿宋_GB2312"/>
          <w:kern w:val="0"/>
          <w:sz w:val="30"/>
          <w:szCs w:val="30"/>
        </w:rPr>
        <w:t>天津市法律援助中心内设3个职能</w:t>
      </w:r>
      <w:r>
        <w:rPr>
          <w:rFonts w:hint="eastAsia" w:ascii="Times New Roman" w:hAnsi="Times New Roman" w:eastAsia="仿宋_GB2312" w:cs="仿宋_GB2312"/>
          <w:kern w:val="0"/>
          <w:sz w:val="30"/>
          <w:szCs w:val="30"/>
          <w:lang w:eastAsia="zh-CN"/>
        </w:rPr>
        <w:t>科</w:t>
      </w:r>
      <w:r>
        <w:rPr>
          <w:rFonts w:hint="eastAsia" w:ascii="Times New Roman" w:hAnsi="Times New Roman" w:eastAsia="仿宋_GB2312" w:cs="仿宋_GB2312"/>
          <w:kern w:val="0"/>
          <w:sz w:val="30"/>
          <w:szCs w:val="30"/>
        </w:rPr>
        <w:t>室</w:t>
      </w:r>
      <w:bookmarkEnd w:id="4"/>
      <w:r>
        <w:rPr>
          <w:rFonts w:hint="eastAsia" w:ascii="Times New Roman" w:hAnsi="Times New Roman" w:eastAsia="仿宋_GB2312" w:cs="仿宋_GB2312"/>
          <w:kern w:val="0"/>
          <w:sz w:val="30"/>
          <w:szCs w:val="30"/>
          <w:lang w:eastAsia="zh-CN"/>
        </w:rPr>
        <w:t>。</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bookmarkStart w:id="5" w:name="_Toc14757"/>
      <w:r>
        <w:rPr>
          <w:rFonts w:hint="eastAsia" w:ascii="方正小标宋简体" w:hAnsi="方正小标宋简体" w:eastAsia="方正小标宋简体"/>
          <w:kern w:val="44"/>
          <w:sz w:val="44"/>
          <w:szCs w:val="24"/>
          <w:lang w:val="en-US"/>
        </w:rPr>
        <w:t>第二部分  202</w:t>
      </w:r>
      <w:r>
        <w:rPr>
          <w:rFonts w:hint="eastAsia" w:hAnsi="方正小标宋简体"/>
          <w:kern w:val="44"/>
          <w:sz w:val="44"/>
          <w:szCs w:val="24"/>
          <w:lang w:val="en-US" w:eastAsia="zh-CN"/>
        </w:rPr>
        <w:t>3</w:t>
      </w:r>
      <w:r>
        <w:rPr>
          <w:rFonts w:hint="eastAsia" w:ascii="方正小标宋简体" w:hAnsi="方正小标宋简体" w:eastAsia="方正小标宋简体"/>
          <w:kern w:val="44"/>
          <w:sz w:val="44"/>
          <w:szCs w:val="24"/>
          <w:lang w:val="en-US"/>
        </w:rPr>
        <w:t>年度部门决算表</w:t>
      </w:r>
      <w:bookmarkEnd w:id="5"/>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pStyle w:val="3"/>
        <w:keepNext/>
        <w:keepLines/>
        <w:pageBreakBefore w:val="0"/>
        <w:widowControl w:val="0"/>
        <w:kinsoku/>
        <w:wordWrap/>
        <w:overflowPunct/>
        <w:topLinePunct w:val="0"/>
        <w:autoSpaceDE w:val="0"/>
        <w:autoSpaceDN w:val="0"/>
        <w:bidi w:val="0"/>
        <w:adjustRightInd w:val="0"/>
        <w:snapToGrid/>
        <w:spacing w:line="800" w:lineRule="exact"/>
        <w:ind w:firstLine="601"/>
        <w:textAlignment w:val="auto"/>
        <w:rPr>
          <w:rFonts w:hint="eastAsia" w:ascii="黑体" w:hAnsi="黑体" w:eastAsia="黑体" w:cs="黑体"/>
          <w:b w:val="0"/>
          <w:bCs w:val="0"/>
        </w:rPr>
      </w:pPr>
      <w:bookmarkStart w:id="6" w:name="_Toc14091"/>
      <w:r>
        <w:rPr>
          <w:rFonts w:hint="eastAsia" w:ascii="黑体" w:hAnsi="黑体" w:eastAsia="黑体" w:cs="黑体"/>
          <w:b w:val="0"/>
          <w:bCs w:val="0"/>
        </w:rPr>
        <w:t>一、《收入支出决算总表》</w:t>
      </w:r>
      <w:bookmarkEnd w:id="6"/>
    </w:p>
    <w:p>
      <w:pPr>
        <w:pStyle w:val="3"/>
        <w:keepNext/>
        <w:keepLines/>
        <w:pageBreakBefore w:val="0"/>
        <w:widowControl w:val="0"/>
        <w:kinsoku/>
        <w:wordWrap/>
        <w:overflowPunct/>
        <w:topLinePunct w:val="0"/>
        <w:autoSpaceDE w:val="0"/>
        <w:autoSpaceDN w:val="0"/>
        <w:bidi w:val="0"/>
        <w:adjustRightInd w:val="0"/>
        <w:snapToGrid/>
        <w:spacing w:line="800" w:lineRule="exact"/>
        <w:ind w:firstLine="601"/>
        <w:textAlignment w:val="auto"/>
        <w:rPr>
          <w:rFonts w:hint="eastAsia" w:ascii="黑体" w:hAnsi="黑体" w:eastAsia="黑体" w:cs="黑体"/>
          <w:b w:val="0"/>
          <w:bCs w:val="0"/>
        </w:rPr>
      </w:pPr>
      <w:bookmarkStart w:id="7" w:name="_Toc21750"/>
      <w:r>
        <w:rPr>
          <w:rFonts w:hint="eastAsia" w:ascii="黑体" w:hAnsi="黑体" w:eastAsia="黑体" w:cs="黑体"/>
          <w:b w:val="0"/>
          <w:bCs w:val="0"/>
        </w:rPr>
        <w:t>二、《收入决算表（按功能分类列示）》</w:t>
      </w:r>
      <w:bookmarkEnd w:id="7"/>
    </w:p>
    <w:p>
      <w:pPr>
        <w:pStyle w:val="3"/>
        <w:keepNext/>
        <w:keepLines/>
        <w:pageBreakBefore w:val="0"/>
        <w:widowControl w:val="0"/>
        <w:kinsoku/>
        <w:wordWrap/>
        <w:overflowPunct/>
        <w:topLinePunct w:val="0"/>
        <w:autoSpaceDE w:val="0"/>
        <w:autoSpaceDN w:val="0"/>
        <w:bidi w:val="0"/>
        <w:adjustRightInd w:val="0"/>
        <w:snapToGrid/>
        <w:spacing w:line="800" w:lineRule="exact"/>
        <w:ind w:firstLine="601"/>
        <w:textAlignment w:val="auto"/>
        <w:rPr>
          <w:rFonts w:hint="eastAsia" w:ascii="黑体" w:hAnsi="黑体" w:eastAsia="黑体" w:cs="黑体"/>
          <w:b w:val="0"/>
          <w:bCs w:val="0"/>
        </w:rPr>
      </w:pPr>
      <w:bookmarkStart w:id="8" w:name="_Toc1805"/>
      <w:r>
        <w:rPr>
          <w:rFonts w:hint="eastAsia" w:ascii="黑体" w:hAnsi="黑体" w:eastAsia="黑体" w:cs="黑体"/>
          <w:b w:val="0"/>
          <w:bCs w:val="0"/>
        </w:rPr>
        <w:t>三、《收入决算表（按单位列示）》</w:t>
      </w:r>
      <w:bookmarkEnd w:id="8"/>
    </w:p>
    <w:p>
      <w:pPr>
        <w:pStyle w:val="3"/>
        <w:keepNext/>
        <w:keepLines/>
        <w:pageBreakBefore w:val="0"/>
        <w:widowControl w:val="0"/>
        <w:kinsoku/>
        <w:wordWrap/>
        <w:overflowPunct/>
        <w:topLinePunct w:val="0"/>
        <w:autoSpaceDE w:val="0"/>
        <w:autoSpaceDN w:val="0"/>
        <w:bidi w:val="0"/>
        <w:adjustRightInd w:val="0"/>
        <w:snapToGrid/>
        <w:spacing w:line="800" w:lineRule="exact"/>
        <w:ind w:firstLine="601"/>
        <w:textAlignment w:val="auto"/>
        <w:rPr>
          <w:rFonts w:hint="eastAsia" w:ascii="黑体" w:hAnsi="黑体" w:eastAsia="黑体" w:cs="黑体"/>
          <w:b w:val="0"/>
          <w:bCs w:val="0"/>
        </w:rPr>
      </w:pPr>
      <w:bookmarkStart w:id="9" w:name="_Toc8883"/>
      <w:r>
        <w:rPr>
          <w:rFonts w:hint="eastAsia" w:ascii="黑体" w:hAnsi="黑体" w:eastAsia="黑体" w:cs="黑体"/>
          <w:b w:val="0"/>
          <w:bCs w:val="0"/>
        </w:rPr>
        <w:t>四、《支出决算表》</w:t>
      </w:r>
      <w:bookmarkEnd w:id="9"/>
    </w:p>
    <w:p>
      <w:pPr>
        <w:pStyle w:val="3"/>
        <w:keepNext/>
        <w:keepLines/>
        <w:pageBreakBefore w:val="0"/>
        <w:widowControl w:val="0"/>
        <w:kinsoku/>
        <w:wordWrap/>
        <w:overflowPunct/>
        <w:topLinePunct w:val="0"/>
        <w:autoSpaceDE w:val="0"/>
        <w:autoSpaceDN w:val="0"/>
        <w:bidi w:val="0"/>
        <w:adjustRightInd w:val="0"/>
        <w:snapToGrid/>
        <w:spacing w:line="800" w:lineRule="exact"/>
        <w:ind w:firstLine="601"/>
        <w:textAlignment w:val="auto"/>
        <w:rPr>
          <w:rFonts w:hint="eastAsia" w:ascii="黑体" w:hAnsi="黑体" w:eastAsia="黑体" w:cs="黑体"/>
          <w:b w:val="0"/>
          <w:bCs w:val="0"/>
        </w:rPr>
      </w:pPr>
      <w:bookmarkStart w:id="10" w:name="_Toc31148"/>
      <w:r>
        <w:rPr>
          <w:rFonts w:hint="eastAsia" w:ascii="黑体" w:hAnsi="黑体" w:eastAsia="黑体" w:cs="黑体"/>
          <w:b w:val="0"/>
          <w:bCs w:val="0"/>
        </w:rPr>
        <w:t>五、《财政拨款收入支出决算总表》</w:t>
      </w:r>
      <w:bookmarkEnd w:id="10"/>
    </w:p>
    <w:p>
      <w:pPr>
        <w:pStyle w:val="3"/>
        <w:keepNext/>
        <w:keepLines/>
        <w:pageBreakBefore w:val="0"/>
        <w:widowControl w:val="0"/>
        <w:kinsoku/>
        <w:wordWrap/>
        <w:overflowPunct/>
        <w:topLinePunct w:val="0"/>
        <w:autoSpaceDE w:val="0"/>
        <w:autoSpaceDN w:val="0"/>
        <w:bidi w:val="0"/>
        <w:adjustRightInd w:val="0"/>
        <w:snapToGrid/>
        <w:spacing w:line="800" w:lineRule="exact"/>
        <w:ind w:firstLine="601"/>
        <w:textAlignment w:val="auto"/>
        <w:rPr>
          <w:rFonts w:hint="eastAsia" w:ascii="黑体" w:hAnsi="黑体" w:eastAsia="黑体" w:cs="黑体"/>
          <w:b w:val="0"/>
          <w:bCs w:val="0"/>
        </w:rPr>
      </w:pPr>
      <w:bookmarkStart w:id="11" w:name="_Toc30703"/>
      <w:r>
        <w:rPr>
          <w:rFonts w:hint="eastAsia" w:ascii="黑体" w:hAnsi="黑体" w:eastAsia="黑体" w:cs="黑体"/>
          <w:b w:val="0"/>
          <w:bCs w:val="0"/>
        </w:rPr>
        <w:t>六、《一般公共预算财政拨款支出决算表》</w:t>
      </w:r>
      <w:bookmarkEnd w:id="11"/>
    </w:p>
    <w:p>
      <w:pPr>
        <w:pStyle w:val="3"/>
        <w:keepNext/>
        <w:keepLines/>
        <w:pageBreakBefore w:val="0"/>
        <w:widowControl w:val="0"/>
        <w:kinsoku/>
        <w:wordWrap/>
        <w:overflowPunct/>
        <w:topLinePunct w:val="0"/>
        <w:autoSpaceDE w:val="0"/>
        <w:autoSpaceDN w:val="0"/>
        <w:bidi w:val="0"/>
        <w:adjustRightInd w:val="0"/>
        <w:snapToGrid/>
        <w:spacing w:line="800" w:lineRule="exact"/>
        <w:ind w:firstLine="601"/>
        <w:textAlignment w:val="auto"/>
        <w:rPr>
          <w:rFonts w:hint="eastAsia" w:ascii="黑体" w:hAnsi="黑体" w:eastAsia="黑体" w:cs="黑体"/>
          <w:b w:val="0"/>
          <w:bCs w:val="0"/>
        </w:rPr>
      </w:pPr>
      <w:bookmarkStart w:id="12" w:name="_Toc12494"/>
      <w:r>
        <w:rPr>
          <w:rFonts w:hint="eastAsia" w:ascii="黑体" w:hAnsi="黑体" w:eastAsia="黑体" w:cs="黑体"/>
          <w:b w:val="0"/>
          <w:bCs w:val="0"/>
        </w:rPr>
        <w:t>七、《一般公共预算财政拨款基本支出决算表》</w:t>
      </w:r>
      <w:bookmarkEnd w:id="12"/>
    </w:p>
    <w:p>
      <w:pPr>
        <w:pStyle w:val="3"/>
        <w:keepNext/>
        <w:keepLines/>
        <w:pageBreakBefore w:val="0"/>
        <w:widowControl w:val="0"/>
        <w:kinsoku/>
        <w:wordWrap/>
        <w:overflowPunct/>
        <w:topLinePunct w:val="0"/>
        <w:autoSpaceDE w:val="0"/>
        <w:autoSpaceDN w:val="0"/>
        <w:bidi w:val="0"/>
        <w:adjustRightInd w:val="0"/>
        <w:snapToGrid/>
        <w:spacing w:line="800" w:lineRule="exact"/>
        <w:ind w:firstLine="601"/>
        <w:textAlignment w:val="auto"/>
        <w:rPr>
          <w:rFonts w:hint="eastAsia" w:ascii="黑体" w:hAnsi="黑体" w:eastAsia="黑体" w:cs="黑体"/>
          <w:b w:val="0"/>
          <w:bCs w:val="0"/>
        </w:rPr>
      </w:pPr>
      <w:bookmarkStart w:id="13" w:name="_Toc29610"/>
      <w:r>
        <w:rPr>
          <w:rFonts w:hint="eastAsia" w:ascii="黑体" w:hAnsi="黑体" w:eastAsia="黑体" w:cs="黑体"/>
          <w:b w:val="0"/>
          <w:bCs w:val="0"/>
        </w:rPr>
        <w:t>八、《政府性基金预算财政拨款收入支出决算表》</w:t>
      </w:r>
      <w:bookmarkEnd w:id="13"/>
    </w:p>
    <w:p>
      <w:pPr>
        <w:pStyle w:val="3"/>
        <w:keepNext/>
        <w:keepLines/>
        <w:pageBreakBefore w:val="0"/>
        <w:widowControl w:val="0"/>
        <w:kinsoku/>
        <w:wordWrap/>
        <w:overflowPunct/>
        <w:topLinePunct w:val="0"/>
        <w:autoSpaceDE w:val="0"/>
        <w:autoSpaceDN w:val="0"/>
        <w:bidi w:val="0"/>
        <w:adjustRightInd w:val="0"/>
        <w:snapToGrid/>
        <w:spacing w:line="800" w:lineRule="exact"/>
        <w:ind w:firstLine="601"/>
        <w:textAlignment w:val="auto"/>
        <w:rPr>
          <w:rFonts w:hint="eastAsia" w:ascii="黑体" w:hAnsi="黑体" w:eastAsia="黑体" w:cs="黑体"/>
          <w:b w:val="0"/>
          <w:bCs w:val="0"/>
        </w:rPr>
      </w:pPr>
      <w:bookmarkStart w:id="14" w:name="_Toc2393"/>
      <w:r>
        <w:rPr>
          <w:rFonts w:hint="eastAsia" w:ascii="黑体" w:hAnsi="黑体" w:eastAsia="黑体" w:cs="黑体"/>
          <w:b w:val="0"/>
          <w:bCs w:val="0"/>
        </w:rPr>
        <w:t>九、《国有资本经营预算财政拨款收入支出决算表》</w:t>
      </w:r>
      <w:bookmarkEnd w:id="14"/>
    </w:p>
    <w:p>
      <w:pPr>
        <w:pStyle w:val="3"/>
        <w:keepNext/>
        <w:keepLines/>
        <w:pageBreakBefore w:val="0"/>
        <w:widowControl w:val="0"/>
        <w:kinsoku/>
        <w:wordWrap/>
        <w:overflowPunct/>
        <w:topLinePunct w:val="0"/>
        <w:autoSpaceDE w:val="0"/>
        <w:autoSpaceDN w:val="0"/>
        <w:bidi w:val="0"/>
        <w:adjustRightInd w:val="0"/>
        <w:snapToGrid/>
        <w:spacing w:line="800" w:lineRule="exact"/>
        <w:ind w:firstLine="601"/>
        <w:textAlignment w:val="auto"/>
        <w:rPr>
          <w:rFonts w:hint="eastAsia" w:ascii="黑体" w:hAnsi="黑体" w:eastAsia="黑体" w:cs="黑体"/>
          <w:b w:val="0"/>
          <w:bCs w:val="0"/>
        </w:rPr>
      </w:pPr>
      <w:bookmarkStart w:id="15" w:name="_Toc31094"/>
      <w:r>
        <w:rPr>
          <w:rFonts w:hint="eastAsia" w:ascii="黑体" w:hAnsi="黑体" w:eastAsia="黑体" w:cs="黑体"/>
          <w:b w:val="0"/>
          <w:bCs w:val="0"/>
        </w:rPr>
        <w:t>十、《财政拨款“三公”经费支出决算表》</w:t>
      </w:r>
      <w:bookmarkEnd w:id="15"/>
    </w:p>
    <w:p>
      <w:pPr>
        <w:pStyle w:val="3"/>
        <w:keepNext/>
        <w:keepLines/>
        <w:pageBreakBefore w:val="0"/>
        <w:widowControl w:val="0"/>
        <w:kinsoku/>
        <w:wordWrap/>
        <w:overflowPunct/>
        <w:topLinePunct w:val="0"/>
        <w:autoSpaceDE w:val="0"/>
        <w:autoSpaceDN w:val="0"/>
        <w:bidi w:val="0"/>
        <w:adjustRightInd w:val="0"/>
        <w:snapToGrid/>
        <w:spacing w:line="800" w:lineRule="exact"/>
        <w:ind w:firstLine="601"/>
        <w:textAlignment w:val="auto"/>
        <w:rPr>
          <w:rFonts w:hint="eastAsia" w:ascii="黑体" w:hAnsi="黑体" w:eastAsia="黑体" w:cs="黑体"/>
          <w:b w:val="0"/>
          <w:bCs w:val="0"/>
          <w:kern w:val="0"/>
          <w:szCs w:val="30"/>
        </w:rPr>
      </w:pPr>
      <w:bookmarkStart w:id="16" w:name="_Toc29139"/>
      <w:r>
        <w:rPr>
          <w:rFonts w:hint="eastAsia" w:ascii="黑体" w:hAnsi="黑体" w:eastAsia="黑体" w:cs="黑体"/>
          <w:b w:val="0"/>
          <w:bCs w:val="0"/>
        </w:rPr>
        <w:t>十一、《项目支出决算表》</w:t>
      </w:r>
      <w:bookmarkEnd w:id="16"/>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keepNext w:val="0"/>
        <w:keepLines w:val="0"/>
        <w:pageBreakBefore w:val="0"/>
        <w:widowControl w:val="0"/>
        <w:kinsoku/>
        <w:wordWrap/>
        <w:overflowPunct/>
        <w:topLinePunct w:val="0"/>
        <w:autoSpaceDE w:val="0"/>
        <w:autoSpaceDN w:val="0"/>
        <w:bidi w:val="0"/>
        <w:adjustRightInd w:val="0"/>
        <w:snapToGrid/>
        <w:spacing w:line="800" w:lineRule="exact"/>
        <w:ind w:firstLine="480" w:firstLineChars="200"/>
        <w:jc w:val="left"/>
        <w:textAlignment w:val="auto"/>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bookmarkStart w:id="17" w:name="_Toc23056"/>
      <w:r>
        <w:rPr>
          <w:rStyle w:val="10"/>
          <w:rFonts w:hint="eastAsia"/>
          <w:b w:val="0"/>
          <w:bCs w:val="0"/>
        </w:rPr>
        <w:t>十二、关于空表的说明</w:t>
      </w:r>
      <w:bookmarkEnd w:id="17"/>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rPr>
      </w:pPr>
      <w:bookmarkStart w:id="18" w:name="_Toc27407"/>
      <w:r>
        <w:rPr>
          <w:rFonts w:hint="eastAsia" w:ascii="Times New Roman" w:hAnsi="Times New Roman" w:eastAsia="仿宋_GB2312" w:cs="仿宋_GB2312"/>
          <w:kern w:val="0"/>
          <w:sz w:val="30"/>
          <w:szCs w:val="30"/>
        </w:rPr>
        <w:t>1.天津市法律援助中心2023年度政府性基金预算财政拨款收入支出决算表为空表。</w:t>
      </w:r>
      <w:bookmarkEnd w:id="18"/>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rPr>
      </w:pPr>
      <w:bookmarkStart w:id="19" w:name="_Toc25058"/>
      <w:r>
        <w:rPr>
          <w:rFonts w:hint="eastAsia" w:ascii="Times New Roman" w:hAnsi="Times New Roman" w:eastAsia="仿宋_GB2312" w:cs="仿宋_GB2312"/>
          <w:kern w:val="0"/>
          <w:sz w:val="30"/>
          <w:szCs w:val="30"/>
        </w:rPr>
        <w:t>2.天津市法律援助中心2023年度国有资本经营预算财政拨款收入支出决算表为空表。</w:t>
      </w:r>
      <w:bookmarkEnd w:id="19"/>
      <w:r>
        <w:rPr>
          <w:rFonts w:hint="eastAsia" w:ascii="Times New Roman" w:hAnsi="Times New Roman" w:eastAsia="仿宋_GB2312" w:cs="仿宋_GB2312"/>
          <w:kern w:val="0"/>
          <w:sz w:val="30"/>
          <w:szCs w:val="30"/>
        </w:rPr>
        <w:t xml:space="preserve"> </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bookmarkStart w:id="20" w:name="_Toc11045"/>
      <w:r>
        <w:rPr>
          <w:rFonts w:hint="eastAsia" w:ascii="Times New Roman" w:hAnsi="Times New Roman" w:eastAsia="仿宋_GB2312" w:cs="仿宋_GB2312"/>
          <w:kern w:val="0"/>
          <w:sz w:val="30"/>
          <w:szCs w:val="30"/>
        </w:rPr>
        <w:t>3.天津市法律援助中心2023年度一般公共预算财政拨款“三公”经费支出决算表为空表。</w:t>
      </w:r>
      <w:bookmarkEnd w:id="20"/>
      <w:r>
        <w:rPr>
          <w:rFonts w:hint="eastAsia" w:ascii="Times New Roman" w:hAnsi="Times New Roman" w:eastAsia="仿宋_GB2312" w:cs="仿宋_GB2312"/>
          <w:kern w:val="0"/>
          <w:sz w:val="30"/>
          <w:szCs w:val="30"/>
        </w:rPr>
        <w:t xml:space="preserve"> </w:t>
      </w:r>
    </w:p>
    <w:p>
      <w:pPr>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br w:type="page"/>
      </w:r>
    </w:p>
    <w:p>
      <w:pPr>
        <w:keepNext/>
        <w:keepLines/>
        <w:autoSpaceDE w:val="0"/>
        <w:autoSpaceDN w:val="0"/>
        <w:adjustRightInd w:val="0"/>
        <w:spacing w:line="600" w:lineRule="exact"/>
        <w:ind w:firstLine="600"/>
        <w:jc w:val="left"/>
        <w:outlineLvl w:val="9"/>
        <w:rPr>
          <w:rFonts w:ascii="Times New Roman" w:hAnsi="Times New Roman" w:eastAsia="仿宋_GB2312" w:cs="仿宋_GB2312"/>
          <w:kern w:val="0"/>
          <w:sz w:val="30"/>
          <w:szCs w:val="30"/>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bookmarkStart w:id="21" w:name="_Toc1173"/>
      <w:r>
        <w:rPr>
          <w:rFonts w:hint="eastAsia" w:ascii="方正小标宋简体" w:hAnsi="方正小标宋简体" w:eastAsia="方正小标宋简体"/>
          <w:kern w:val="44"/>
          <w:sz w:val="44"/>
          <w:szCs w:val="24"/>
          <w:lang w:val="en-US"/>
        </w:rPr>
        <w:t>第三部分  202</w:t>
      </w:r>
      <w:r>
        <w:rPr>
          <w:rFonts w:hint="eastAsia" w:hAnsi="方正小标宋简体"/>
          <w:kern w:val="44"/>
          <w:sz w:val="44"/>
          <w:szCs w:val="24"/>
          <w:lang w:val="en-US" w:eastAsia="zh-CN"/>
        </w:rPr>
        <w:t>3</w:t>
      </w:r>
      <w:r>
        <w:rPr>
          <w:rFonts w:hint="eastAsia" w:ascii="方正小标宋简体" w:hAnsi="方正小标宋简体" w:eastAsia="方正小标宋简体"/>
          <w:kern w:val="44"/>
          <w:sz w:val="44"/>
          <w:szCs w:val="24"/>
          <w:lang w:val="en-US"/>
        </w:rPr>
        <w:t>年度部门决算情况说明</w:t>
      </w:r>
      <w:bookmarkEnd w:id="21"/>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pStyle w:val="3"/>
        <w:bidi w:val="0"/>
        <w:rPr>
          <w:lang w:val="zh-CN"/>
        </w:rPr>
      </w:pPr>
      <w:bookmarkStart w:id="22" w:name="_Toc23882"/>
      <w:r>
        <w:rPr>
          <w:rFonts w:hint="eastAsia"/>
          <w:lang w:val="zh-CN"/>
        </w:rPr>
        <w:t>一、收入支出决算总体情况说明</w:t>
      </w:r>
      <w:bookmarkEnd w:id="22"/>
    </w:p>
    <w:p>
      <w:pPr>
        <w:keepNext/>
        <w:keepLines/>
        <w:autoSpaceDE w:val="0"/>
        <w:autoSpaceDN w:val="0"/>
        <w:adjustRightInd w:val="0"/>
        <w:spacing w:line="600" w:lineRule="exact"/>
        <w:ind w:firstLine="600"/>
        <w:jc w:val="both"/>
        <w:outlineLvl w:val="1"/>
        <w:rPr>
          <w:rFonts w:ascii="Times New Roman" w:hAnsi="Times New Roman" w:eastAsia="仿宋_GB2312" w:cs="仿宋_GB2312"/>
          <w:kern w:val="0"/>
          <w:sz w:val="30"/>
          <w:szCs w:val="30"/>
        </w:rPr>
      </w:pPr>
      <w:bookmarkStart w:id="23" w:name="_Toc22032"/>
      <w:r>
        <w:rPr>
          <w:rFonts w:hint="eastAsia" w:ascii="Times New Roman" w:hAnsi="Times New Roman" w:eastAsia="仿宋" w:cs="仿宋"/>
          <w:kern w:val="0"/>
          <w:sz w:val="30"/>
          <w:szCs w:val="30"/>
          <w:lang w:val="zh-CN"/>
        </w:rPr>
        <w:t>天津市法律援助中心</w:t>
      </w:r>
      <w:r>
        <w:rPr>
          <w:rFonts w:hint="eastAsia" w:ascii="Times New Roman" w:hAnsi="Times New Roman" w:eastAsia="仿宋" w:cs="Times New Roman"/>
          <w:kern w:val="0"/>
          <w:sz w:val="30"/>
          <w:szCs w:val="30"/>
          <w:lang w:val="zh-CN"/>
        </w:rPr>
        <w:t>2023</w:t>
      </w:r>
      <w:r>
        <w:rPr>
          <w:rFonts w:hint="eastAsia" w:ascii="Times New Roman" w:hAnsi="Times New Roman" w:eastAsia="仿宋_GB2312" w:cs="仿宋_GB2312"/>
          <w:kern w:val="0"/>
          <w:sz w:val="30"/>
          <w:szCs w:val="30"/>
          <w:lang w:val="zh-CN"/>
        </w:rPr>
        <w:t>年度收入、支出决算总计</w:t>
      </w:r>
      <w:r>
        <w:rPr>
          <w:rFonts w:hint="eastAsia" w:ascii="Times New Roman" w:hAnsi="Times New Roman" w:eastAsia="华文中宋"/>
          <w:sz w:val="30"/>
          <w:szCs w:val="30"/>
        </w:rPr>
        <w:t>7,550,796.81</w:t>
      </w:r>
      <w:r>
        <w:rPr>
          <w:rFonts w:hint="eastAsia" w:ascii="Times New Roman" w:hAnsi="Times New Roman" w:eastAsia="仿宋_GB2312" w:cs="仿宋_GB2312"/>
          <w:kern w:val="0"/>
          <w:sz w:val="30"/>
          <w:szCs w:val="30"/>
        </w:rPr>
        <w:t>元，与</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年度相比，收、支总计各</w:t>
      </w:r>
      <w:r>
        <w:rPr>
          <w:rFonts w:hint="eastAsia" w:ascii="Times New Roman" w:hAnsi="Times New Roman" w:eastAsia="仿宋_GB2312" w:cs="仿宋_GB2312"/>
          <w:sz w:val="30"/>
          <w:szCs w:val="30"/>
        </w:rPr>
        <w:t>增加746,722.88</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，增长10.97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在职人员在岗月份增加。</w:t>
      </w:r>
      <w:bookmarkEnd w:id="23"/>
    </w:p>
    <w:p>
      <w:pPr>
        <w:pStyle w:val="3"/>
        <w:bidi w:val="0"/>
      </w:pPr>
      <w:bookmarkStart w:id="24" w:name="_Toc3392"/>
      <w:r>
        <w:rPr>
          <w:rFonts w:hint="eastAsia"/>
          <w:lang w:val="zh-CN"/>
        </w:rPr>
        <w:t>二、</w:t>
      </w:r>
      <w:r>
        <w:rPr>
          <w:rFonts w:hint="eastAsia"/>
        </w:rPr>
        <w:t>收入决算情况</w:t>
      </w:r>
      <w:r>
        <w:rPr>
          <w:rFonts w:hint="eastAsia"/>
          <w:lang w:val="zh-CN"/>
        </w:rPr>
        <w:t>说明</w:t>
      </w:r>
      <w:bookmarkEnd w:id="24"/>
    </w:p>
    <w:p>
      <w:pPr>
        <w:autoSpaceDE w:val="0"/>
        <w:autoSpaceDN w:val="0"/>
        <w:adjustRightInd w:val="0"/>
        <w:spacing w:line="60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天津市法律援助中心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7,550,796.81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年度相比增长746,722.88元，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在职人员在岗月份增加。</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7,550,731.19</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w:t>
      </w:r>
      <w:r>
        <w:rPr>
          <w:rFonts w:hint="eastAsia" w:ascii="Times New Roman" w:hAnsi="Times New Roman" w:eastAsia="仿宋_GB2312" w:cs="Times New Roman"/>
          <w:sz w:val="30"/>
          <w:szCs w:val="30"/>
          <w:lang w:val="en-US" w:eastAsia="zh-CN"/>
        </w:rPr>
        <w:t>0</w:t>
      </w:r>
      <w:r>
        <w:rPr>
          <w:rFonts w:hint="eastAsia" w:ascii="Times New Roman" w:hAnsi="Times New Roman" w:eastAsia="仿宋_GB2312" w:cs="Times New Roman"/>
          <w:sz w:val="30"/>
          <w:szCs w:val="30"/>
        </w:rPr>
        <w:t>0</w:t>
      </w:r>
      <w:r>
        <w:rPr>
          <w:rFonts w:hint="eastAsia" w:ascii="Times New Roman" w:hAnsi="Times New Roman" w:eastAsia="宋体" w:cs="Times New Roman"/>
          <w:sz w:val="30"/>
          <w:szCs w:val="30"/>
        </w:rPr>
        <w:t>%；</w:t>
      </w: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65.62元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hint="eastAsia" w:ascii="Times New Roman" w:hAnsi="Times New Roman" w:eastAsia="仿宋_GB2312" w:cs="仿宋_GB2312"/>
          <w:sz w:val="30"/>
          <w:szCs w:val="30"/>
          <w:lang w:val="en-US" w:eastAsia="zh-CN"/>
        </w:rPr>
        <w:t>0</w:t>
      </w:r>
      <w:r>
        <w:rPr>
          <w:rFonts w:hint="eastAsia" w:ascii="Times New Roman" w:hAnsi="Times New Roman" w:eastAsia="仿宋_GB2312" w:cs="仿宋_GB2312"/>
          <w:sz w:val="30"/>
          <w:szCs w:val="30"/>
          <w:lang w:val="zh-CN"/>
        </w:rPr>
        <w:t>%。</w:t>
      </w:r>
    </w:p>
    <w:p>
      <w:pPr>
        <w:pStyle w:val="3"/>
        <w:bidi w:val="0"/>
      </w:pPr>
      <w:bookmarkStart w:id="25" w:name="_Toc17563"/>
      <w:r>
        <w:rPr>
          <w:rFonts w:hint="eastAsia"/>
          <w:lang w:val="zh-CN"/>
        </w:rPr>
        <w:t>三、支出</w:t>
      </w:r>
      <w:r>
        <w:rPr>
          <w:rFonts w:hint="eastAsia"/>
        </w:rPr>
        <w:t>决算情况说明</w:t>
      </w:r>
      <w:bookmarkEnd w:id="25"/>
    </w:p>
    <w:p>
      <w:pPr>
        <w:autoSpaceDE w:val="0"/>
        <w:autoSpaceDN w:val="0"/>
        <w:adjustRightInd w:val="0"/>
        <w:spacing w:line="580" w:lineRule="exact"/>
        <w:ind w:firstLine="600"/>
        <w:jc w:val="both"/>
        <w:rPr>
          <w:rFonts w:hint="eastAsia" w:ascii="Times New Roman" w:hAnsi="Times New Roman" w:eastAsia="仿宋_GB2312" w:cs="黑体"/>
          <w:sz w:val="30"/>
          <w:szCs w:val="30"/>
          <w:lang w:val="zh-CN" w:eastAsia="zh-CN"/>
        </w:rPr>
      </w:pPr>
      <w:r>
        <w:rPr>
          <w:rFonts w:hint="eastAsia" w:ascii="Times New Roman" w:hAnsi="Times New Roman" w:eastAsia="仿宋_GB2312" w:cs="仿宋_GB2312"/>
          <w:sz w:val="30"/>
          <w:szCs w:val="30"/>
        </w:rPr>
        <w:t>天津市法律援助中心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年度本年支出合计7,550,731.19元，与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年度相比增加746,778.41元，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kern w:val="0"/>
          <w:sz w:val="30"/>
          <w:szCs w:val="30"/>
        </w:rPr>
        <w:t>在职人员在岗月份增加。</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5,629,701.19元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占74.56%；</w:t>
      </w: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1,921,030.00元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占25.44%</w:t>
      </w:r>
      <w:r>
        <w:rPr>
          <w:rFonts w:hint="eastAsia" w:ascii="Times New Roman" w:hAnsi="Times New Roman" w:eastAsia="仿宋_GB2312" w:cs="仿宋_GB2312"/>
          <w:sz w:val="30"/>
          <w:szCs w:val="30"/>
          <w:lang w:eastAsia="zh-CN"/>
        </w:rPr>
        <w:t>。</w:t>
      </w:r>
    </w:p>
    <w:p>
      <w:pPr>
        <w:pStyle w:val="3"/>
        <w:bidi w:val="0"/>
        <w:rPr>
          <w:lang w:val="zh-CN"/>
        </w:rPr>
      </w:pPr>
      <w:bookmarkStart w:id="26" w:name="_Toc888"/>
      <w:r>
        <w:rPr>
          <w:rFonts w:hint="eastAsia"/>
          <w:lang w:val="zh-CN"/>
        </w:rPr>
        <w:t>四、财政拨款收支决算总体情况说明</w:t>
      </w:r>
      <w:bookmarkEnd w:id="26"/>
    </w:p>
    <w:p>
      <w:pPr>
        <w:autoSpaceDE w:val="0"/>
        <w:autoSpaceDN w:val="0"/>
        <w:adjustRightInd w:val="0"/>
        <w:spacing w:line="58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天津市法律援助中心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7,550,731.19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年度相比，财政拨款收、支总计各增加746,778.41元，增长10.98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在职人员在岗月份增加。</w:t>
      </w:r>
    </w:p>
    <w:p>
      <w:pPr>
        <w:pStyle w:val="3"/>
        <w:bidi w:val="0"/>
      </w:pPr>
      <w:bookmarkStart w:id="27" w:name="_Toc25861"/>
      <w:r>
        <w:rPr>
          <w:rFonts w:hint="eastAsia"/>
        </w:rPr>
        <w:t>五、一般公共预算财政拨款支出决算情况说明</w:t>
      </w:r>
      <w:bookmarkEnd w:id="27"/>
    </w:p>
    <w:p>
      <w:pPr>
        <w:keepNext w:val="0"/>
        <w:keepLines w:val="0"/>
        <w:pageBreakBefore w:val="0"/>
        <w:widowControl w:val="0"/>
        <w:kinsoku/>
        <w:wordWrap/>
        <w:overflowPunct/>
        <w:topLinePunct w:val="0"/>
        <w:autoSpaceDE w:val="0"/>
        <w:autoSpaceDN w:val="0"/>
        <w:bidi w:val="0"/>
        <w:adjustRightInd w:val="0"/>
        <w:snapToGrid/>
        <w:spacing w:line="600" w:lineRule="exact"/>
        <w:ind w:left="482"/>
        <w:jc w:val="left"/>
        <w:textAlignment w:val="auto"/>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360" w:lineRule="auto"/>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天津市法律援助中心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w:t>
      </w:r>
      <w:r>
        <w:rPr>
          <w:rFonts w:hint="eastAsia" w:ascii="Times New Roman" w:hAnsi="Times New Roman" w:eastAsia="仿宋_GB2312" w:cs="Times New Roman"/>
          <w:sz w:val="30"/>
          <w:szCs w:val="30"/>
        </w:rPr>
        <w:t>7,550,731.19</w:t>
      </w:r>
      <w:r>
        <w:rPr>
          <w:rFonts w:hint="eastAsia" w:ascii="Times New Roman" w:hAnsi="Times New Roman" w:eastAsia="仿宋_GB2312" w:cs="仿宋_GB2312"/>
          <w:sz w:val="30"/>
          <w:szCs w:val="30"/>
        </w:rPr>
        <w:t>元，占本年支出合计的</w:t>
      </w:r>
      <w:r>
        <w:rPr>
          <w:rFonts w:hint="eastAsia" w:ascii="Times New Roman" w:hAnsi="Times New Roman" w:eastAsia="仿宋_GB2312" w:cs="Times New Roman"/>
          <w:sz w:val="30"/>
          <w:szCs w:val="30"/>
        </w:rPr>
        <w:t>100.0</w:t>
      </w:r>
      <w:r>
        <w:rPr>
          <w:rFonts w:hint="eastAsia" w:ascii="Times New Roman" w:hAnsi="Times New Roman" w:eastAsia="仿宋_GB2312" w:cs="Times New Roman"/>
          <w:sz w:val="30"/>
          <w:szCs w:val="30"/>
          <w:lang w:val="en-US" w:eastAsia="zh-CN"/>
        </w:rPr>
        <w:t>0</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w:t>
      </w:r>
      <w:r>
        <w:rPr>
          <w:rFonts w:hint="eastAsia" w:eastAsia="仿宋_GB2312"/>
          <w:sz w:val="30"/>
          <w:szCs w:val="30"/>
        </w:rPr>
        <w:t>一般公共预算财政拨款支出增加</w:t>
      </w:r>
      <w:r>
        <w:rPr>
          <w:rFonts w:hint="eastAsia" w:ascii="Times New Roman" w:hAnsi="Times New Roman" w:eastAsia="仿宋_GB2312" w:cs="仿宋_GB2312"/>
          <w:sz w:val="30"/>
          <w:szCs w:val="30"/>
        </w:rPr>
        <w:t>746,778.41元，增长10.98</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在职人员在岗月份增加。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highlight w:val="none"/>
        </w:rPr>
        <w:t>7,550,731.19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rPr>
        <w:t>公共安全支出6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749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805.91元，占89.39%；社会保障和就业支出527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840.64元，占6.99%；卫生健康支出273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084</w:t>
      </w:r>
      <w:r>
        <w:rPr>
          <w:rFonts w:hint="eastAsia" w:ascii="Times New Roman" w:hAnsi="Times New Roman" w:eastAsia="仿宋_GB2312" w:cs="仿宋_GB2312"/>
          <w:sz w:val="30"/>
          <w:szCs w:val="30"/>
        </w:rPr>
        <w:t>.64元，占3.62%。</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7,303,000.00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7,550,731.19</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103.39%</w:t>
      </w:r>
      <w:r>
        <w:rPr>
          <w:rFonts w:hint="eastAsia" w:ascii="Times New Roman" w:hAnsi="Times New Roman" w:eastAsia="仿宋_GB2312" w:cs="仿宋_GB2312"/>
          <w:kern w:val="0"/>
          <w:sz w:val="30"/>
          <w:szCs w:val="30"/>
        </w:rPr>
        <w:t>。其中：</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公共安全支出-司法-行政运行年初预算为4,719,000.00元，支出决算为4,828,775.91元，完成年初预算的102.33%，决算数大于年初预算数的主要原因是在职人员在岗月份增加。</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600" w:firstLineChars="200"/>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公共安全支出-司法-基层司法业务年初预算为224,000.00元，支出决算为208,660.00元，完成年初预算的93.15%。决算数小于年初预算数的主要原因是深入推进公共法律服务</w:t>
      </w:r>
      <w:r>
        <w:rPr>
          <w:rFonts w:hint="eastAsia" w:ascii="Times New Roman" w:hAnsi="Times New Roman" w:eastAsia="仿宋_GB2312" w:cs="仿宋_GB2312"/>
          <w:sz w:val="30"/>
          <w:szCs w:val="30"/>
          <w:lang w:val="en-US" w:eastAsia="zh-CN"/>
        </w:rPr>
        <w:t>便民化</w:t>
      </w:r>
      <w:r>
        <w:rPr>
          <w:rFonts w:hint="eastAsia" w:ascii="Times New Roman" w:hAnsi="Times New Roman" w:eastAsia="仿宋_GB2312" w:cs="仿宋_GB2312"/>
          <w:sz w:val="30"/>
          <w:szCs w:val="30"/>
        </w:rPr>
        <w:t>项目质检效率提高，所用时长减少，质检费用减少。</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600" w:firstLineChars="200"/>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公共安全支出-司法-公共法律服务年初预算为1,540,000.00元，支出决算为1,712,370.00元，完成年初预算的111.19%。决算数大于年初预算数的主要原因是上年度中央转移支付资金结转到本年使用。</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600" w:firstLineChars="200"/>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社会保障和就业支出-行政事业单位养老支出-机关事业单位基本养老保险缴费支出年初预算为359,000.00元，支出决算为351,893.76元，完成年初预算的98.02%，决算数小于年初预算数的主要原因是严控经费开支。</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600" w:firstLineChars="200"/>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社会保障和就业支出-行政事业单位养老支出-机关事业单位职业年金缴费支出年初预算为180,000.00元，支出决算为175,946.88元，完成年初预算的97.75%，决算数小于年初预算数的主要原因是严控经费开支。</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600" w:firstLineChars="200"/>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卫生健康支出-行政事业单位医疗-行政单位医疗年初预算为236,000.00元，支出决算为229,097.92元，完成年初预算的97.08%，决算数小于年初预算数的主要原因是严控经费开支。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00" w:firstLineChars="200"/>
        <w:jc w:val="both"/>
        <w:textAlignment w:val="auto"/>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 xml:space="preserve">7.卫生健康支出-行政事业单位医疗-公务员医疗补助年初预算为45,000.00元，支出决算为43,986.72元，完成年初预算的97.75%，决算数小于年初预算数的主要原因是严控经费开支。 </w:t>
      </w:r>
    </w:p>
    <w:p>
      <w:pPr>
        <w:pStyle w:val="3"/>
        <w:bidi w:val="0"/>
      </w:pPr>
      <w:bookmarkStart w:id="28" w:name="_Toc16161"/>
      <w:r>
        <w:rPr>
          <w:rFonts w:hint="eastAsia"/>
        </w:rPr>
        <w:t>六、一般公共预算财政拨款基本支出决算情况说明</w:t>
      </w:r>
      <w:bookmarkEnd w:id="28"/>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天津市法律援助中心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5,629,701.19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年度相比增加962,438.41元，</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在职人员在岗月份增加。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4,950,968.92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基本工资、津贴补贴、奖金、机关事业单位基本养老保险缴费、职业年金缴费、职工基本医疗保险缴费、公务员医疗补助缴费、其他社会保障缴费、住房公积金、其他工资福利支出、退休费、生活补助。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678,732.27</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办公费、印刷费、水费、电费、邮电费、取暖费、物业管理费、差旅费、维修(护)费、劳务费、工会经费、福利费、其他交通费用、其他商品和服务支出、办公设备购置。</w:t>
      </w:r>
    </w:p>
    <w:p>
      <w:pPr>
        <w:pStyle w:val="3"/>
        <w:bidi w:val="0"/>
      </w:pPr>
      <w:bookmarkStart w:id="29" w:name="_Toc26869"/>
      <w:r>
        <w:rPr>
          <w:rFonts w:hint="eastAsia"/>
        </w:rPr>
        <w:t>七、政府性基金预算财政拨款收支决算情况</w:t>
      </w:r>
      <w:bookmarkEnd w:id="29"/>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天津市法律援助中心2023年度无政府性基金预算财政拨款收入、支出和结转结余。</w:t>
      </w:r>
      <w:r>
        <w:rPr>
          <w:rFonts w:hint="eastAsia" w:ascii="Times New Roman" w:hAnsi="Times New Roman" w:eastAsia="仿宋_GB2312" w:cs="仿宋_GB2312"/>
          <w:sz w:val="30"/>
          <w:szCs w:val="30"/>
        </w:rPr>
        <w:tab/>
      </w:r>
    </w:p>
    <w:p>
      <w:pPr>
        <w:pStyle w:val="3"/>
        <w:bidi w:val="0"/>
      </w:pPr>
      <w:bookmarkStart w:id="30" w:name="_Toc26030"/>
      <w:r>
        <w:rPr>
          <w:rFonts w:hint="eastAsia"/>
        </w:rPr>
        <w:t>八、国有资本经营预算财政拨款收支决算情况说明</w:t>
      </w:r>
      <w:bookmarkEnd w:id="30"/>
    </w:p>
    <w:p>
      <w:pPr>
        <w:keepNext/>
        <w:keepLines/>
        <w:autoSpaceDE w:val="0"/>
        <w:autoSpaceDN w:val="0"/>
        <w:adjustRightInd w:val="0"/>
        <w:spacing w:line="600" w:lineRule="exact"/>
        <w:ind w:firstLine="602"/>
        <w:jc w:val="left"/>
        <w:outlineLvl w:val="1"/>
        <w:rPr>
          <w:rFonts w:ascii="Times New Roman" w:hAnsi="Times New Roman" w:eastAsia="仿宋_GB2312" w:cs="仿宋_GB2312"/>
          <w:sz w:val="30"/>
          <w:szCs w:val="30"/>
        </w:rPr>
      </w:pPr>
      <w:bookmarkStart w:id="31" w:name="_Toc22740"/>
      <w:r>
        <w:rPr>
          <w:rFonts w:hint="eastAsia" w:ascii="Times New Roman" w:hAnsi="Times New Roman" w:eastAsia="仿宋_GB2312" w:cs="仿宋_GB2312"/>
          <w:sz w:val="30"/>
          <w:szCs w:val="30"/>
        </w:rPr>
        <w:t>天津市法律援助中心2023年度无国有资本经营预算财政拨款收入、支出和结转结余。</w:t>
      </w:r>
      <w:bookmarkEnd w:id="31"/>
    </w:p>
    <w:p>
      <w:pPr>
        <w:pStyle w:val="3"/>
        <w:bidi w:val="0"/>
      </w:pPr>
      <w:bookmarkStart w:id="32" w:name="_Toc31648"/>
      <w:r>
        <w:rPr>
          <w:rFonts w:hint="eastAsia"/>
        </w:rPr>
        <w:t>九、财政拨款</w:t>
      </w:r>
      <w:r>
        <w:t>“</w:t>
      </w:r>
      <w:r>
        <w:rPr>
          <w:rFonts w:hint="eastAsia"/>
        </w:rPr>
        <w:t>三公</w:t>
      </w:r>
      <w:r>
        <w:t>”</w:t>
      </w:r>
      <w:r>
        <w:rPr>
          <w:rFonts w:hint="eastAsia"/>
        </w:rPr>
        <w:t>经费</w:t>
      </w:r>
      <w:r>
        <w:rPr>
          <w:rFonts w:hint="eastAsia"/>
          <w:lang w:val="zh-CN"/>
        </w:rPr>
        <w:t>支出决算</w:t>
      </w:r>
      <w:r>
        <w:rPr>
          <w:rFonts w:hint="eastAsia"/>
        </w:rPr>
        <w:t>情况</w:t>
      </w:r>
      <w:bookmarkEnd w:id="32"/>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w:t>
      </w:r>
      <w:r>
        <w:rPr>
          <w:rFonts w:hint="eastAsia" w:ascii="Times New Roman" w:hAnsi="Times New Roman" w:eastAsia="仿宋_GB2312" w:cs="仿宋_GB2312"/>
          <w:kern w:val="0"/>
          <w:sz w:val="30"/>
          <w:szCs w:val="30"/>
          <w:lang w:val="en-US" w:eastAsia="zh-CN"/>
        </w:rPr>
        <w:t>0</w:t>
      </w:r>
      <w:r>
        <w:rPr>
          <w:rFonts w:hint="eastAsia" w:ascii="Times New Roman" w:hAnsi="Times New Roman" w:eastAsia="仿宋_GB2312" w:cs="仿宋_GB2312"/>
          <w:kern w:val="0"/>
          <w:sz w:val="30"/>
          <w:szCs w:val="30"/>
        </w:rPr>
        <w:t>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kern w:val="0"/>
          <w:sz w:val="30"/>
          <w:szCs w:val="30"/>
          <w:lang w:val="en-US" w:eastAsia="zh-CN"/>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本年度未用一般公共预算列支“三公”经费</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kern w:val="0"/>
          <w:sz w:val="30"/>
          <w:szCs w:val="30"/>
          <w:lang w:val="en-US" w:eastAsia="zh-CN"/>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本年度及上年度未用一般公共预算列支“三公”经费。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仿宋_GB2312"/>
          <w:kern w:val="0"/>
          <w:sz w:val="30"/>
          <w:szCs w:val="30"/>
          <w:lang w:val="en-US" w:eastAsia="zh-CN"/>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。决算数预算数的主要原因是</w:t>
      </w:r>
      <w:r>
        <w:rPr>
          <w:rFonts w:hint="eastAsia" w:ascii="Times New Roman" w:hAnsi="Times New Roman" w:eastAsia="仿宋_GB2312" w:cs="仿宋_GB2312"/>
          <w:sz w:val="30"/>
          <w:szCs w:val="30"/>
        </w:rPr>
        <w:t>本年度未用一般公共预算列支</w:t>
      </w:r>
      <w:r>
        <w:rPr>
          <w:rFonts w:hint="eastAsia" w:ascii="Times New Roman" w:hAnsi="Times New Roman" w:eastAsia="仿宋_GB2312" w:cs="仿宋_GB2312"/>
          <w:kern w:val="0"/>
          <w:sz w:val="30"/>
          <w:szCs w:val="30"/>
        </w:rPr>
        <w:t>因公出国（境）费</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rPr>
        <w:t>决算数较上年的主要原因是</w:t>
      </w:r>
      <w:r>
        <w:rPr>
          <w:rFonts w:hint="eastAsia" w:ascii="Times New Roman" w:hAnsi="Times New Roman" w:eastAsia="仿宋_GB2312" w:cs="仿宋_GB2312"/>
          <w:sz w:val="30"/>
          <w:szCs w:val="30"/>
        </w:rPr>
        <w:t>本年度及上年度未用一般公共预算列支</w:t>
      </w:r>
      <w:r>
        <w:rPr>
          <w:rFonts w:hint="eastAsia" w:ascii="Times New Roman" w:hAnsi="Times New Roman" w:eastAsia="仿宋_GB2312" w:cs="仿宋_GB2312"/>
          <w:kern w:val="0"/>
          <w:sz w:val="30"/>
          <w:szCs w:val="30"/>
        </w:rPr>
        <w:t>因公出国（境）费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仿宋_GB2312"/>
          <w:kern w:val="0"/>
          <w:sz w:val="30"/>
          <w:szCs w:val="30"/>
          <w:lang w:val="en-US" w:eastAsia="zh-CN"/>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kern w:val="0"/>
          <w:sz w:val="30"/>
          <w:szCs w:val="30"/>
          <w:lang w:val="en-US" w:eastAsia="zh-CN"/>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w:t>
      </w:r>
      <w:r>
        <w:rPr>
          <w:rFonts w:hint="eastAsia" w:ascii="Times New Roman" w:hAnsi="Times New Roman" w:eastAsia="仿宋_GB2312" w:cs="仿宋_GB2312"/>
          <w:kern w:val="0"/>
          <w:sz w:val="30"/>
          <w:szCs w:val="30"/>
        </w:rPr>
        <w:t>公务用车购置及运行维护费；决算数较上年</w:t>
      </w:r>
      <w:r>
        <w:rPr>
          <w:rFonts w:hint="eastAsia" w:ascii="Times New Roman" w:hAnsi="Times New Roman" w:eastAsia="仿宋_GB2312" w:cs="仿宋_GB2312"/>
          <w:kern w:val="0"/>
          <w:sz w:val="30"/>
          <w:szCs w:val="30"/>
          <w:lang w:val="en-US" w:eastAsia="zh-CN"/>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本年度及上年度未用一般公共预算列支</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仿宋_GB2312"/>
          <w:kern w:val="0"/>
          <w:sz w:val="30"/>
          <w:szCs w:val="30"/>
          <w:lang w:val="en-US" w:eastAsia="zh-CN"/>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kern w:val="0"/>
          <w:sz w:val="30"/>
          <w:szCs w:val="30"/>
          <w:lang w:val="en-US" w:eastAsia="zh-CN"/>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w:t>
      </w:r>
      <w:r>
        <w:rPr>
          <w:rFonts w:hint="eastAsia" w:ascii="Times New Roman" w:hAnsi="Times New Roman" w:eastAsia="仿宋_GB2312" w:cs="仿宋_GB2312"/>
          <w:kern w:val="0"/>
          <w:sz w:val="30"/>
          <w:szCs w:val="30"/>
        </w:rPr>
        <w:t>公务用车运行维护费；决算数较上年</w:t>
      </w:r>
      <w:r>
        <w:rPr>
          <w:rFonts w:hint="eastAsia" w:ascii="Times New Roman" w:hAnsi="Times New Roman" w:eastAsia="仿宋_GB2312" w:cs="仿宋_GB2312"/>
          <w:kern w:val="0"/>
          <w:sz w:val="30"/>
          <w:szCs w:val="30"/>
          <w:lang w:val="en-US" w:eastAsia="zh-CN"/>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本年度及上年度未用一般公共预算列支</w:t>
      </w:r>
      <w:r>
        <w:rPr>
          <w:rFonts w:hint="eastAsia" w:ascii="Times New Roman" w:hAnsi="Times New Roman" w:eastAsia="仿宋_GB2312" w:cs="仿宋_GB2312"/>
          <w:kern w:val="0"/>
          <w:sz w:val="30"/>
          <w:szCs w:val="30"/>
        </w:rPr>
        <w:t>公务用车运行维护费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仿宋_GB2312"/>
          <w:kern w:val="0"/>
          <w:sz w:val="30"/>
          <w:szCs w:val="30"/>
          <w:lang w:val="en-US" w:eastAsia="zh-CN"/>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kern w:val="0"/>
          <w:sz w:val="30"/>
          <w:szCs w:val="30"/>
          <w:lang w:val="en-US" w:eastAsia="zh-CN"/>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w:t>
      </w:r>
      <w:r>
        <w:rPr>
          <w:rFonts w:hint="eastAsia" w:ascii="Times New Roman" w:hAnsi="Times New Roman" w:eastAsia="仿宋_GB2312" w:cs="仿宋_GB2312"/>
          <w:kern w:val="0"/>
          <w:sz w:val="30"/>
          <w:szCs w:val="30"/>
        </w:rPr>
        <w:t>公务用车购置费；决算数较上年</w:t>
      </w:r>
      <w:r>
        <w:rPr>
          <w:rFonts w:hint="eastAsia" w:ascii="Times New Roman" w:hAnsi="Times New Roman" w:eastAsia="仿宋_GB2312" w:cs="仿宋_GB2312"/>
          <w:kern w:val="0"/>
          <w:sz w:val="30"/>
          <w:szCs w:val="30"/>
          <w:lang w:val="en-US" w:eastAsia="zh-CN"/>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本年度及上年度未用一般公共预算列支</w:t>
      </w:r>
      <w:r>
        <w:rPr>
          <w:rFonts w:hint="eastAsia" w:ascii="Times New Roman" w:hAnsi="Times New Roman" w:eastAsia="仿宋_GB2312" w:cs="仿宋_GB2312"/>
          <w:kern w:val="0"/>
          <w:sz w:val="30"/>
          <w:szCs w:val="30"/>
        </w:rPr>
        <w:t>公务用车购置费</w:t>
      </w:r>
      <w:r>
        <w:rPr>
          <w:rFonts w:hint="eastAsia" w:ascii="Times New Roman" w:hAnsi="Times New Roman" w:eastAsia="仿宋_GB2312" w:cs="仿宋_GB2312"/>
          <w:sz w:val="30"/>
          <w:szCs w:val="30"/>
        </w:rPr>
        <w:t>。</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both"/>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kern w:val="0"/>
          <w:sz w:val="30"/>
          <w:szCs w:val="30"/>
          <w:lang w:val="en-US" w:eastAsia="zh-CN"/>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w:t>
      </w:r>
      <w:r>
        <w:rPr>
          <w:rFonts w:hint="eastAsia" w:ascii="Times New Roman" w:hAnsi="Times New Roman" w:eastAsia="仿宋_GB2312" w:cs="仿宋_GB2312"/>
          <w:kern w:val="0"/>
          <w:sz w:val="30"/>
          <w:szCs w:val="30"/>
        </w:rPr>
        <w:t>公务接待费；决算数较上年</w:t>
      </w:r>
      <w:r>
        <w:rPr>
          <w:rFonts w:hint="eastAsia" w:ascii="Times New Roman" w:hAnsi="Times New Roman" w:eastAsia="仿宋_GB2312" w:cs="仿宋_GB2312"/>
          <w:kern w:val="0"/>
          <w:sz w:val="30"/>
          <w:szCs w:val="30"/>
          <w:lang w:val="en-US" w:eastAsia="zh-CN"/>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本年度及上年度未用一般公共预算列支</w:t>
      </w:r>
      <w:r>
        <w:rPr>
          <w:rFonts w:hint="eastAsia" w:ascii="Times New Roman" w:hAnsi="Times New Roman" w:eastAsia="仿宋_GB2312" w:cs="仿宋_GB2312"/>
          <w:kern w:val="0"/>
          <w:sz w:val="30"/>
          <w:szCs w:val="30"/>
        </w:rPr>
        <w:t>公务接待费</w:t>
      </w:r>
      <w:r>
        <w:rPr>
          <w:rFonts w:hint="eastAsia" w:ascii="Times New Roman" w:hAnsi="Times New Roman" w:eastAsia="仿宋_GB2312" w:cs="仿宋_GB2312"/>
          <w:sz w:val="30"/>
          <w:szCs w:val="30"/>
        </w:rPr>
        <w:t>。</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pStyle w:val="3"/>
        <w:bidi w:val="0"/>
      </w:pPr>
      <w:bookmarkStart w:id="33" w:name="_Toc13807"/>
      <w:r>
        <w:rPr>
          <w:rFonts w:hint="eastAsia"/>
        </w:rPr>
        <w:t>十、机关运行经费支出情况说明</w:t>
      </w:r>
      <w:bookmarkEnd w:id="33"/>
    </w:p>
    <w:p>
      <w:pPr>
        <w:autoSpaceDE w:val="0"/>
        <w:autoSpaceDN w:val="0"/>
        <w:adjustRightInd w:val="0"/>
        <w:spacing w:line="58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天津市法律援助中心</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678,732.27</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年增加47,840.43元，增长7.58</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在职人员在岗月份增加。</w:t>
      </w:r>
    </w:p>
    <w:p>
      <w:pPr>
        <w:pStyle w:val="3"/>
        <w:bidi w:val="0"/>
      </w:pPr>
      <w:bookmarkStart w:id="34" w:name="_Toc6298"/>
      <w:r>
        <w:rPr>
          <w:rFonts w:hint="eastAsia"/>
        </w:rPr>
        <w:t>十一、政府采购支出情况说明</w:t>
      </w:r>
      <w:bookmarkEnd w:id="34"/>
    </w:p>
    <w:p>
      <w:pPr>
        <w:autoSpaceDE w:val="0"/>
        <w:autoSpaceDN w:val="0"/>
        <w:adjustRightInd w:val="0"/>
        <w:spacing w:line="600" w:lineRule="exact"/>
        <w:ind w:firstLine="600"/>
        <w:jc w:val="both"/>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天津市法律援助中心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105,190.00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105,190.00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105,190.00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105,190.00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Times New Roman"/>
          <w:kern w:val="0"/>
          <w:sz w:val="30"/>
          <w:szCs w:val="30"/>
          <w:lang w:val="en-US" w:eastAsia="zh-CN"/>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w:t>
      </w:r>
      <w:r>
        <w:rPr>
          <w:rFonts w:hint="eastAsia" w:ascii="Times New Roman" w:hAnsi="Times New Roman" w:eastAsia="仿宋_GB2312" w:cs="仿宋_GB2312"/>
          <w:sz w:val="30"/>
          <w:szCs w:val="30"/>
          <w:lang w:val="en-US" w:eastAsia="zh-CN"/>
        </w:rPr>
        <w:t>0</w:t>
      </w:r>
      <w:r>
        <w:rPr>
          <w:rFonts w:hint="eastAsia"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hint="eastAsia" w:ascii="Times New Roman" w:hAnsi="Times New Roman" w:eastAsia="仿宋_GB2312" w:cs="仿宋_GB2312"/>
          <w:sz w:val="30"/>
          <w:szCs w:val="30"/>
          <w:lang w:val="en-US" w:eastAsia="zh-CN"/>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hint="eastAsia" w:ascii="Times New Roman" w:hAnsi="Times New Roman" w:eastAsia="仿宋_GB2312" w:cs="仿宋_GB2312"/>
          <w:sz w:val="30"/>
          <w:szCs w:val="30"/>
          <w:lang w:val="en-US" w:eastAsia="zh-CN"/>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pStyle w:val="3"/>
        <w:bidi w:val="0"/>
      </w:pPr>
      <w:bookmarkStart w:id="35" w:name="_Toc3778"/>
      <w:r>
        <w:rPr>
          <w:rFonts w:hint="eastAsia"/>
          <w:lang w:val="zh-CN"/>
        </w:rPr>
        <w:t>十二、</w:t>
      </w:r>
      <w:r>
        <w:rPr>
          <w:rFonts w:hint="eastAsia"/>
        </w:rPr>
        <w:t>国有资产占有使用情况说明</w:t>
      </w:r>
      <w:bookmarkEnd w:id="35"/>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天津市法律援助中心2023年度无国有资产占有使用情况。</w:t>
      </w:r>
    </w:p>
    <w:p>
      <w:pPr>
        <w:pStyle w:val="3"/>
        <w:bidi w:val="0"/>
      </w:pPr>
      <w:bookmarkStart w:id="36" w:name="_Toc6400"/>
      <w:r>
        <w:rPr>
          <w:rFonts w:hint="eastAsia"/>
          <w:lang w:val="zh-CN"/>
        </w:rPr>
        <w:t>十三、</w:t>
      </w:r>
      <w:r>
        <w:rPr>
          <w:rFonts w:hint="eastAsia"/>
        </w:rPr>
        <w:t>预算绩效情况说明</w:t>
      </w:r>
      <w:bookmarkEnd w:id="36"/>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根据预算绩效管理要求，</w:t>
      </w:r>
      <w:r>
        <w:rPr>
          <w:rFonts w:hint="eastAsia" w:ascii="Times New Roman" w:hAnsi="Times New Roman" w:eastAsia="仿宋_GB2312" w:cs="仿宋_GB2312"/>
          <w:color w:val="000000"/>
          <w:kern w:val="0"/>
          <w:sz w:val="30"/>
          <w:szCs w:val="30"/>
        </w:rPr>
        <w:t>天津市法律援助中心</w:t>
      </w:r>
      <w:r>
        <w:rPr>
          <w:rFonts w:hint="eastAsia" w:ascii="Times New Roman" w:hAnsi="Times New Roman" w:eastAsia="仿宋_GB2312" w:cs="仿宋_GB2312"/>
          <w:kern w:val="0"/>
          <w:sz w:val="30"/>
          <w:szCs w:val="30"/>
        </w:rPr>
        <w:t>2023年度已对</w:t>
      </w:r>
      <w:r>
        <w:rPr>
          <w:rFonts w:hint="eastAsia" w:ascii="Times New Roman" w:hAnsi="Times New Roman" w:eastAsia="仿宋_GB2312" w:cs="仿宋_GB2312"/>
          <w:sz w:val="30"/>
          <w:szCs w:val="30"/>
        </w:rPr>
        <w:t>3</w:t>
      </w:r>
      <w:r>
        <w:rPr>
          <w:rFonts w:hint="eastAsia" w:ascii="Times New Roman" w:hAnsi="Times New Roman" w:eastAsia="仿宋_GB2312" w:cs="仿宋_GB2312"/>
          <w:kern w:val="0"/>
          <w:sz w:val="30"/>
          <w:szCs w:val="30"/>
        </w:rPr>
        <w:t>个市级项目开展绩效自评，涉及金额</w:t>
      </w:r>
      <w:r>
        <w:rPr>
          <w:rFonts w:hint="eastAsia" w:ascii="Times New Roman" w:hAnsi="Times New Roman" w:eastAsia="仿宋_GB2312" w:cs="仿宋_GB2312"/>
          <w:sz w:val="30"/>
          <w:szCs w:val="30"/>
        </w:rPr>
        <w:t>1</w:t>
      </w:r>
      <w:r>
        <w:rPr>
          <w:rFonts w:hint="default" w:ascii="Times New Roman" w:hAnsi="Times New Roman" w:eastAsia="仿宋_GB2312" w:cs="仿宋_GB2312"/>
          <w:sz w:val="30"/>
          <w:szCs w:val="30"/>
          <w:lang w:val="en"/>
        </w:rPr>
        <w:t>,</w:t>
      </w:r>
      <w:r>
        <w:rPr>
          <w:rFonts w:hint="eastAsia" w:ascii="Times New Roman" w:hAnsi="Times New Roman" w:eastAsia="仿宋_GB2312" w:cs="仿宋_GB2312"/>
          <w:sz w:val="30"/>
          <w:szCs w:val="30"/>
        </w:rPr>
        <w:t>921</w:t>
      </w:r>
      <w:r>
        <w:rPr>
          <w:rFonts w:hint="default" w:ascii="Times New Roman" w:hAnsi="Times New Roman" w:eastAsia="仿宋_GB2312" w:cs="仿宋_GB2312"/>
          <w:sz w:val="30"/>
          <w:szCs w:val="30"/>
          <w:lang w:val="en"/>
        </w:rPr>
        <w:t>,</w:t>
      </w:r>
      <w:r>
        <w:rPr>
          <w:rFonts w:hint="eastAsia" w:ascii="Times New Roman" w:hAnsi="Times New Roman" w:eastAsia="仿宋_GB2312" w:cs="仿宋_GB2312"/>
          <w:sz w:val="30"/>
          <w:szCs w:val="30"/>
        </w:rPr>
        <w:t>030</w:t>
      </w:r>
      <w:r>
        <w:rPr>
          <w:rFonts w:hint="default" w:ascii="Times New Roman" w:hAnsi="Times New Roman" w:eastAsia="仿宋_GB2312" w:cs="仿宋_GB2312"/>
          <w:sz w:val="30"/>
          <w:szCs w:val="30"/>
          <w:lang w:val="en"/>
        </w:rPr>
        <w:t>.00</w:t>
      </w:r>
      <w:r>
        <w:rPr>
          <w:rFonts w:hint="eastAsia" w:ascii="Times New Roman" w:hAnsi="Times New Roman" w:eastAsia="仿宋_GB2312" w:cs="仿宋_GB2312"/>
          <w:kern w:val="0"/>
          <w:sz w:val="30"/>
          <w:szCs w:val="30"/>
        </w:rPr>
        <w:t>元，自评结果已随部门决算一并公开。</w:t>
      </w:r>
    </w:p>
    <w:p>
      <w:pPr>
        <w:pStyle w:val="3"/>
        <w:bidi w:val="0"/>
      </w:pPr>
      <w:bookmarkStart w:id="37" w:name="_Toc7823"/>
      <w:r>
        <w:rPr>
          <w:rFonts w:hint="eastAsia"/>
          <w:lang w:val="zh-CN"/>
        </w:rPr>
        <w:t>十四、</w:t>
      </w:r>
      <w:r>
        <w:rPr>
          <w:rFonts w:hint="eastAsia"/>
        </w:rPr>
        <w:t>教育、医疗卫生、社会保障和就业、住房保障、涉农补贴等民生支出情况说明</w:t>
      </w:r>
      <w:bookmarkEnd w:id="37"/>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天津市法律援助中心不属于乡、镇、街级单位，不涉及公开2023年度教育、医疗卫生、社会保障和就业、住房保障、涉农补贴等民生支出情况。</w:t>
      </w:r>
    </w:p>
    <w:p>
      <w:pPr>
        <w:autoSpaceDE w:val="0"/>
        <w:autoSpaceDN w:val="0"/>
        <w:adjustRightInd w:val="0"/>
        <w:jc w:val="both"/>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pStyle w:val="2"/>
        <w:keepNext/>
        <w:keepLines/>
        <w:spacing w:beforeLines="0" w:afterLines="0" w:line="600" w:lineRule="exact"/>
        <w:jc w:val="center"/>
        <w:rPr>
          <w:rFonts w:hint="eastAsia" w:ascii="方正小标宋简体" w:hAnsi="方正小标宋简体" w:eastAsia="方正小标宋简体"/>
          <w:color w:val="auto"/>
          <w:kern w:val="44"/>
          <w:sz w:val="44"/>
          <w:szCs w:val="24"/>
          <w:lang w:val="en-US"/>
        </w:rPr>
      </w:pPr>
      <w:bookmarkStart w:id="38" w:name="_Toc8633"/>
      <w:r>
        <w:rPr>
          <w:rFonts w:hint="eastAsia" w:ascii="方正小标宋简体" w:hAnsi="方正小标宋简体" w:eastAsia="方正小标宋简体"/>
          <w:color w:val="auto"/>
          <w:kern w:val="44"/>
          <w:sz w:val="44"/>
          <w:szCs w:val="24"/>
          <w:lang w:val="en-US"/>
        </w:rPr>
        <w:t>第四部分  名词解释</w:t>
      </w:r>
      <w:bookmarkEnd w:id="38"/>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default" w:ascii="Times New Roman" w:hAnsi="Times New Roman" w:eastAsia="仿宋_GB2312" w:cs="仿宋_GB2312"/>
          <w:kern w:val="0"/>
          <w:sz w:val="30"/>
          <w:szCs w:val="30"/>
          <w:lang w:val="en"/>
        </w:rPr>
        <w:t>1.</w:t>
      </w:r>
      <w:bookmarkStart w:id="39" w:name="_GoBack"/>
      <w:bookmarkEnd w:id="39"/>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both"/>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6"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53963"/>
    <w:multiLevelType w:val="singleLevel"/>
    <w:tmpl w:val="1FC5396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NjNjNDJmYjk2YWUzYTI0ZjVmMTAwMDgxN2Y1OTg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A39DE"/>
    <w:rsid w:val="003B25FB"/>
    <w:rsid w:val="004A482F"/>
    <w:rsid w:val="004F39BF"/>
    <w:rsid w:val="005062D7"/>
    <w:rsid w:val="005175E6"/>
    <w:rsid w:val="00525157"/>
    <w:rsid w:val="005349A2"/>
    <w:rsid w:val="00575537"/>
    <w:rsid w:val="005D1367"/>
    <w:rsid w:val="005D3F56"/>
    <w:rsid w:val="00654D17"/>
    <w:rsid w:val="006623EC"/>
    <w:rsid w:val="00697385"/>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4B03C22"/>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7D57D6"/>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3B4790"/>
    <w:rsid w:val="284E3F62"/>
    <w:rsid w:val="28612632"/>
    <w:rsid w:val="2A924D25"/>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D771AB"/>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546911"/>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E43ABE"/>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E5711"/>
    <w:rsid w:val="656942F9"/>
    <w:rsid w:val="665D659A"/>
    <w:rsid w:val="672E57FA"/>
    <w:rsid w:val="68200AB4"/>
    <w:rsid w:val="68C169D0"/>
    <w:rsid w:val="6B4F5D3F"/>
    <w:rsid w:val="6B963EB9"/>
    <w:rsid w:val="6BA5EA9B"/>
    <w:rsid w:val="6BBB51FE"/>
    <w:rsid w:val="6BF54B38"/>
    <w:rsid w:val="6C054650"/>
    <w:rsid w:val="6C1D5E3D"/>
    <w:rsid w:val="6CF70A69"/>
    <w:rsid w:val="6CFE17CB"/>
    <w:rsid w:val="6D5E0469"/>
    <w:rsid w:val="6D854C1A"/>
    <w:rsid w:val="6E080CF4"/>
    <w:rsid w:val="6EB34837"/>
    <w:rsid w:val="6FFD7E17"/>
    <w:rsid w:val="70180DF5"/>
    <w:rsid w:val="704716DB"/>
    <w:rsid w:val="708C6A78"/>
    <w:rsid w:val="70E84C6C"/>
    <w:rsid w:val="70FE35D3"/>
    <w:rsid w:val="71600CA6"/>
    <w:rsid w:val="7260119C"/>
    <w:rsid w:val="72701CEB"/>
    <w:rsid w:val="72B3615B"/>
    <w:rsid w:val="73724CC1"/>
    <w:rsid w:val="7455465F"/>
    <w:rsid w:val="75AB44BA"/>
    <w:rsid w:val="768A12A8"/>
    <w:rsid w:val="79DC07A5"/>
    <w:rsid w:val="7ACA53E2"/>
    <w:rsid w:val="7B143565"/>
    <w:rsid w:val="7D7E39E8"/>
    <w:rsid w:val="7E2E7A36"/>
    <w:rsid w:val="7E703A39"/>
    <w:rsid w:val="7F3217A8"/>
    <w:rsid w:val="7FDD7966"/>
    <w:rsid w:val="AFFEC3D6"/>
    <w:rsid w:val="F2FF1470"/>
    <w:rsid w:val="F58F1E65"/>
    <w:rsid w:val="FF79E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keepNext/>
      <w:keepLines/>
      <w:autoSpaceDE w:val="0"/>
      <w:autoSpaceDN w:val="0"/>
      <w:adjustRightInd w:val="0"/>
      <w:spacing w:line="600" w:lineRule="exact"/>
      <w:ind w:firstLine="602"/>
      <w:jc w:val="left"/>
      <w:outlineLvl w:val="1"/>
    </w:pPr>
    <w:rPr>
      <w:rFonts w:ascii="Times New Roman" w:hAnsi="Times New Roman" w:eastAsia="黑体" w:cs="黑体"/>
      <w:b/>
      <w:bCs/>
      <w:kern w:val="0"/>
      <w:sz w:val="30"/>
      <w:szCs w:val="30"/>
      <w:lang w:val="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link w:val="3"/>
    <w:qFormat/>
    <w:uiPriority w:val="99"/>
    <w:rPr>
      <w:rFonts w:ascii="Times New Roman" w:hAnsi="Times New Roman" w:eastAsia="黑体" w:cs="黑体"/>
      <w:b/>
      <w:bCs/>
      <w:kern w:val="0"/>
      <w:sz w:val="30"/>
      <w:szCs w:val="30"/>
      <w:lang w:val="zh-CN" w:eastAsia="zh-CN" w:bidi="ar-SA"/>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4342</Words>
  <Characters>5101</Characters>
  <Lines>42</Lines>
  <Paragraphs>11</Paragraphs>
  <TotalTime>4</TotalTime>
  <ScaleCrop>false</ScaleCrop>
  <LinksUpToDate>false</LinksUpToDate>
  <CharactersWithSpaces>5225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2024-07-26T08:22:00Z</dcterms:created>
  <dc:creator>office</dc:creator>
  <cp:lastModifiedBy>杜广茹</cp:lastModifiedBy>
  <dcterms:modified xsi:type="dcterms:W3CDTF">2024-09-04T09:57:53Z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8A0D64F922A84990B6BB3EDB9849670C_13</vt:lpwstr>
  </property>
</Properties>
</file>