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天津市司法</w:t>
      </w:r>
      <w:r>
        <w:rPr>
          <w:rFonts w:hint="eastAsia" w:ascii="方正小标宋简体" w:hAnsi="方正小标宋_GBK" w:eastAsia="方正小标宋简体" w:cs="方正小标宋_GBK"/>
          <w:color w:val="000000"/>
          <w:sz w:val="56"/>
          <w:lang w:eastAsia="zh-CN"/>
        </w:rPr>
        <w:t>行政服务中心</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"_Toc157759657"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rPr>
        <w:t>法治建设绩效目标表</w:t>
      </w:r>
      <w:r>
        <w:rPr>
          <w:rStyle w:val="10"/>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p>
    <w:p>
      <w:pPr>
        <w:jc w:val="center"/>
      </w:pPr>
      <w:r>
        <w:rPr>
          <w:rFonts w:ascii="方正仿宋_GBK" w:hAnsi="方正仿宋_GBK" w:eastAsia="方正仿宋_GBK" w:cs="方正仿宋_GBK"/>
          <w:sz w:val="28"/>
        </w:rPr>
        <w:t xml:space="preserve"> </w:t>
      </w:r>
    </w:p>
    <w:p>
      <w:pPr>
        <w:ind w:firstLine="560"/>
        <w:outlineLvl w:val="3"/>
      </w:pPr>
      <w:bookmarkStart w:id="0" w:name="_Toc157759657"/>
      <w:r>
        <w:rPr>
          <w:rFonts w:ascii="方正仿宋_GBK" w:hAnsi="方正仿宋_GBK" w:eastAsia="方正仿宋_GBK" w:cs="方正仿宋_GBK"/>
          <w:sz w:val="28"/>
        </w:rPr>
        <w:t>1.法治建设绩效目标表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343206天津市司法行政服务中心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法治建设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22.50</w:t>
            </w:r>
          </w:p>
        </w:tc>
        <w:tc>
          <w:tcPr>
            <w:tcW w:w="1587" w:type="dxa"/>
            <w:vAlign w:val="center"/>
          </w:tcPr>
          <w:p>
            <w:pPr>
              <w:pStyle w:val="17"/>
            </w:pPr>
            <w:r>
              <w:t>其中：财政    资金</w:t>
            </w:r>
          </w:p>
        </w:tc>
        <w:tc>
          <w:tcPr>
            <w:tcW w:w="1843" w:type="dxa"/>
            <w:vAlign w:val="center"/>
          </w:tcPr>
          <w:p>
            <w:pPr>
              <w:pStyle w:val="16"/>
            </w:pPr>
            <w:r>
              <w:t>22.50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天津市司法行政服务中心法治建设专项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1.目标内容1:开展政府法律法规译审工作，提高政府法律法规宣传水平;目标内容2:完成天津市依法治市重大课题相关工作，为我市全面推进依法治市提供重大决策价值和应用价值的理论研究成果.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课题数量</w:t>
            </w:r>
          </w:p>
        </w:tc>
        <w:tc>
          <w:tcPr>
            <w:tcW w:w="3430" w:type="dxa"/>
            <w:vAlign w:val="center"/>
          </w:tcPr>
          <w:p>
            <w:pPr>
              <w:pStyle w:val="16"/>
            </w:pPr>
            <w:r>
              <w:t>课题数量</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数量完成率</w:t>
            </w:r>
          </w:p>
        </w:tc>
        <w:tc>
          <w:tcPr>
            <w:tcW w:w="3430" w:type="dxa"/>
            <w:vAlign w:val="center"/>
          </w:tcPr>
          <w:p>
            <w:pPr>
              <w:pStyle w:val="16"/>
            </w:pPr>
            <w:r>
              <w:t>译审数量完成率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课题完成率</w:t>
            </w:r>
          </w:p>
        </w:tc>
        <w:tc>
          <w:tcPr>
            <w:tcW w:w="3430" w:type="dxa"/>
            <w:vAlign w:val="center"/>
          </w:tcPr>
          <w:p>
            <w:pPr>
              <w:pStyle w:val="16"/>
            </w:pPr>
            <w:r>
              <w:t>课题完成率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采纳公布</w:t>
            </w:r>
          </w:p>
        </w:tc>
        <w:tc>
          <w:tcPr>
            <w:tcW w:w="3430" w:type="dxa"/>
            <w:vAlign w:val="center"/>
          </w:tcPr>
          <w:p>
            <w:pPr>
              <w:pStyle w:val="16"/>
            </w:pPr>
            <w:r>
              <w:t>采纳公布</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课题按时通过率</w:t>
            </w:r>
          </w:p>
        </w:tc>
        <w:tc>
          <w:tcPr>
            <w:tcW w:w="3430" w:type="dxa"/>
            <w:vAlign w:val="center"/>
          </w:tcPr>
          <w:p>
            <w:pPr>
              <w:pStyle w:val="16"/>
            </w:pPr>
            <w:r>
              <w:t>课题按时通过率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译审按时完成率</w:t>
            </w:r>
          </w:p>
        </w:tc>
        <w:tc>
          <w:tcPr>
            <w:tcW w:w="3430" w:type="dxa"/>
            <w:vAlign w:val="center"/>
          </w:tcPr>
          <w:p>
            <w:pPr>
              <w:pStyle w:val="16"/>
            </w:pPr>
            <w:r>
              <w:t>译审按时完成率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课题费</w:t>
            </w:r>
          </w:p>
        </w:tc>
        <w:tc>
          <w:tcPr>
            <w:tcW w:w="3430" w:type="dxa"/>
            <w:vAlign w:val="center"/>
          </w:tcPr>
          <w:p>
            <w:pPr>
              <w:pStyle w:val="16"/>
            </w:pPr>
            <w:r>
              <w:t>课题费</w:t>
            </w:r>
          </w:p>
        </w:tc>
        <w:tc>
          <w:tcPr>
            <w:tcW w:w="2551" w:type="dxa"/>
            <w:vAlign w:val="center"/>
          </w:tcPr>
          <w:p>
            <w:pPr>
              <w:pStyle w:val="16"/>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译审费</w:t>
            </w:r>
          </w:p>
        </w:tc>
        <w:tc>
          <w:tcPr>
            <w:tcW w:w="3430" w:type="dxa"/>
            <w:vAlign w:val="center"/>
          </w:tcPr>
          <w:p>
            <w:pPr>
              <w:pStyle w:val="16"/>
            </w:pPr>
            <w:r>
              <w:t>译审费</w:t>
            </w:r>
          </w:p>
        </w:tc>
        <w:tc>
          <w:tcPr>
            <w:tcW w:w="2551" w:type="dxa"/>
            <w:vAlign w:val="center"/>
          </w:tcPr>
          <w:p>
            <w:pPr>
              <w:pStyle w:val="16"/>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为法治建设提供智力支撑</w:t>
            </w:r>
          </w:p>
        </w:tc>
        <w:tc>
          <w:tcPr>
            <w:tcW w:w="3430" w:type="dxa"/>
            <w:vAlign w:val="center"/>
          </w:tcPr>
          <w:p>
            <w:pPr>
              <w:pStyle w:val="16"/>
            </w:pPr>
            <w:r>
              <w:t>为法治建设提供智力支撑</w:t>
            </w:r>
          </w:p>
        </w:tc>
        <w:tc>
          <w:tcPr>
            <w:tcW w:w="2551" w:type="dxa"/>
            <w:vAlign w:val="center"/>
          </w:tcPr>
          <w:p>
            <w:pPr>
              <w:pStyle w:val="16"/>
            </w:pPr>
            <w:r>
              <w:t>通过深入研究全面依法治市重大理论与实践课题，形成一批具有前瞻性指导性可行性的研究成果，助力法治天津建设，提供智力支持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推进政府立法工作水平</w:t>
            </w:r>
          </w:p>
        </w:tc>
        <w:tc>
          <w:tcPr>
            <w:tcW w:w="3430" w:type="dxa"/>
            <w:vAlign w:val="center"/>
          </w:tcPr>
          <w:p>
            <w:pPr>
              <w:pStyle w:val="16"/>
            </w:pPr>
            <w:r>
              <w:t>推进政府立法工作水平</w:t>
            </w:r>
          </w:p>
        </w:tc>
        <w:tc>
          <w:tcPr>
            <w:tcW w:w="2551" w:type="dxa"/>
            <w:vAlign w:val="center"/>
          </w:tcPr>
          <w:p>
            <w:pPr>
              <w:pStyle w:val="16"/>
            </w:pPr>
            <w:r>
              <w:t>作为立法工作的重要环节加以规范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服务对象满意度指标</w:t>
            </w:r>
          </w:p>
        </w:tc>
        <w:tc>
          <w:tcPr>
            <w:tcW w:w="3430" w:type="dxa"/>
            <w:vAlign w:val="center"/>
          </w:tcPr>
          <w:p>
            <w:pPr>
              <w:pStyle w:val="16"/>
            </w:pPr>
            <w:r>
              <w:t>服务对象满意度指标</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bookmarkStart w:id="1" w:name="_GoBack"/>
      <w:bookmarkEnd w:id="1"/>
    </w:p>
    <w:p>
      <w:pPr>
        <w:jc w:val="both"/>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7"/>
    <w:rsid w:val="00527547"/>
    <w:rsid w:val="008945C1"/>
    <w:rsid w:val="00B83D28"/>
    <w:rsid w:val="7EFB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9"/>
    <w:link w:val="3"/>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2058</Words>
  <Characters>11736</Characters>
  <Lines>97</Lines>
  <Paragraphs>27</Paragraphs>
  <TotalTime>1</TotalTime>
  <ScaleCrop>false</ScaleCrop>
  <LinksUpToDate>false</LinksUpToDate>
  <CharactersWithSpaces>13767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2024-02-01T18:37:00Z</dcterms:created>
  <dc:creator>kylin</dc:creator>
  <cp:lastModifiedBy>杜广茹</cp:lastModifiedBy>
  <dcterms:modified xsi:type="dcterms:W3CDTF">2024-02-21T15:34:56Z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