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7B" w:rsidRPr="00CB5F7B" w:rsidRDefault="00CB5F7B" w:rsidP="00511C4C">
      <w:pPr>
        <w:pStyle w:val="a5"/>
        <w:spacing w:line="560" w:lineRule="exact"/>
        <w:jc w:val="center"/>
        <w:rPr>
          <w:rFonts w:ascii="方正小标宋简体" w:eastAsia="方正小标宋简体" w:hAnsi="仿宋" w:cs="宋体"/>
          <w:sz w:val="44"/>
          <w:szCs w:val="44"/>
        </w:rPr>
      </w:pPr>
      <w:bookmarkStart w:id="0" w:name="_GoBack"/>
      <w:bookmarkEnd w:id="0"/>
      <w:r w:rsidRPr="00CB5F7B">
        <w:rPr>
          <w:rFonts w:ascii="方正小标宋简体" w:eastAsia="方正小标宋简体" w:hAnsi="仿宋" w:cs="宋体" w:hint="eastAsia"/>
          <w:sz w:val="44"/>
          <w:szCs w:val="44"/>
        </w:rPr>
        <w:t>天津市发展散装水泥管理办法</w:t>
      </w:r>
    </w:p>
    <w:p w:rsidR="00CB5F7B" w:rsidRPr="00511C4C" w:rsidRDefault="00406217" w:rsidP="00511C4C">
      <w:pPr>
        <w:pStyle w:val="a5"/>
        <w:spacing w:line="560" w:lineRule="exact"/>
        <w:ind w:firstLineChars="200" w:firstLine="640"/>
        <w:jc w:val="left"/>
        <w:rPr>
          <w:rFonts w:ascii="仿宋" w:eastAsia="仿宋" w:hAnsi="仿宋" w:cs="宋体"/>
          <w:sz w:val="32"/>
          <w:szCs w:val="32"/>
        </w:rPr>
      </w:pPr>
      <w:r w:rsidRPr="00511C4C">
        <w:rPr>
          <w:rFonts w:ascii="仿宋" w:eastAsia="仿宋" w:hAnsi="仿宋" w:cs="宋体" w:hint="eastAsia"/>
          <w:sz w:val="32"/>
          <w:szCs w:val="32"/>
        </w:rPr>
        <w:t>（</w:t>
      </w:r>
      <w:r w:rsidR="00CB5F7B" w:rsidRPr="00511C4C">
        <w:rPr>
          <w:rFonts w:ascii="仿宋" w:eastAsia="仿宋" w:hAnsi="仿宋" w:cs="宋体" w:hint="eastAsia"/>
          <w:sz w:val="32"/>
          <w:szCs w:val="32"/>
        </w:rPr>
        <w:t>２００５年７月１８日天津市人民政府令第９２号公布</w:t>
      </w:r>
      <w:r w:rsidRPr="00511C4C">
        <w:rPr>
          <w:rFonts w:ascii="仿宋" w:eastAsia="仿宋" w:hAnsi="仿宋" w:cs="宋体" w:hint="eastAsia"/>
          <w:sz w:val="32"/>
          <w:szCs w:val="32"/>
        </w:rPr>
        <w:t xml:space="preserve">  </w:t>
      </w:r>
      <w:r w:rsidR="00CB5F7B" w:rsidRPr="00511C4C">
        <w:rPr>
          <w:rFonts w:ascii="仿宋" w:eastAsia="仿宋" w:hAnsi="仿宋" w:cs="宋体" w:hint="eastAsia"/>
          <w:sz w:val="32"/>
          <w:szCs w:val="32"/>
        </w:rPr>
        <w:t>自２００５年９月１日起施行</w:t>
      </w:r>
      <w:r w:rsidRPr="00511C4C">
        <w:rPr>
          <w:rFonts w:ascii="仿宋" w:eastAsia="仿宋" w:hAnsi="仿宋" w:cs="宋体" w:hint="eastAsia"/>
          <w:sz w:val="32"/>
          <w:szCs w:val="32"/>
        </w:rPr>
        <w:t xml:space="preserve">  </w:t>
      </w:r>
      <w:r w:rsidR="00CB5F7B" w:rsidRPr="00511C4C">
        <w:rPr>
          <w:rFonts w:ascii="仿宋" w:eastAsia="仿宋" w:hAnsi="仿宋" w:cs="宋体" w:hint="eastAsia"/>
          <w:sz w:val="32"/>
          <w:szCs w:val="32"/>
        </w:rPr>
        <w:t>根据２０１２年５月２１日天津市人民政府令第５２号《</w:t>
      </w:r>
      <w:r w:rsidR="00F51878" w:rsidRPr="00511C4C">
        <w:rPr>
          <w:rFonts w:ascii="仿宋" w:eastAsia="仿宋" w:hAnsi="仿宋" w:cs="宋体" w:hint="eastAsia"/>
          <w:sz w:val="32"/>
          <w:szCs w:val="32"/>
        </w:rPr>
        <w:t>天津市人民政府</w:t>
      </w:r>
      <w:r w:rsidR="00CB5F7B" w:rsidRPr="00511C4C">
        <w:rPr>
          <w:rFonts w:ascii="仿宋" w:eastAsia="仿宋" w:hAnsi="仿宋" w:cs="宋体" w:hint="eastAsia"/>
          <w:sz w:val="32"/>
          <w:szCs w:val="32"/>
        </w:rPr>
        <w:t>关于修改部分市政府规章的决定》第一次修正</w:t>
      </w:r>
      <w:r w:rsidRPr="00511C4C">
        <w:rPr>
          <w:rFonts w:ascii="仿宋" w:eastAsia="仿宋" w:hAnsi="仿宋" w:cs="宋体" w:hint="eastAsia"/>
          <w:sz w:val="32"/>
          <w:szCs w:val="32"/>
        </w:rPr>
        <w:t xml:space="preserve">  </w:t>
      </w:r>
      <w:r w:rsidR="00CB5F7B" w:rsidRPr="00511C4C">
        <w:rPr>
          <w:rFonts w:ascii="仿宋" w:eastAsia="仿宋" w:hAnsi="仿宋" w:cs="宋体" w:hint="eastAsia"/>
          <w:sz w:val="32"/>
          <w:szCs w:val="32"/>
        </w:rPr>
        <w:t>根据２０１５年６月２０日天津市人民政府令第２０号《天津市人民政府关于修改部分规章的决定》第二次修正</w:t>
      </w:r>
      <w:r w:rsidRPr="00511C4C">
        <w:rPr>
          <w:rFonts w:ascii="仿宋" w:eastAsia="仿宋" w:hAnsi="仿宋" w:cs="宋体" w:hint="eastAsia"/>
          <w:sz w:val="32"/>
          <w:szCs w:val="32"/>
        </w:rPr>
        <w:t xml:space="preserve">  </w:t>
      </w:r>
      <w:r w:rsidR="00CB5F7B" w:rsidRPr="00511C4C">
        <w:rPr>
          <w:rFonts w:ascii="仿宋" w:eastAsia="仿宋" w:hAnsi="仿宋" w:cs="宋体" w:hint="eastAsia"/>
          <w:sz w:val="32"/>
          <w:szCs w:val="32"/>
        </w:rPr>
        <w:t>根据２０１８年１月９日天津市人民政府令第２９号《天津市人民政府关于修改和废止部分规章的决定》第三次修正</w:t>
      </w:r>
      <w:r w:rsidRPr="00511C4C">
        <w:rPr>
          <w:rFonts w:ascii="仿宋" w:eastAsia="仿宋" w:hAnsi="仿宋" w:cs="宋体" w:hint="eastAsia"/>
          <w:sz w:val="32"/>
          <w:szCs w:val="32"/>
        </w:rPr>
        <w:t>）</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第一条 </w:t>
      </w:r>
      <w:r w:rsidRPr="00511C4C">
        <w:rPr>
          <w:rFonts w:ascii="仿宋" w:eastAsia="仿宋" w:hAnsi="仿宋" w:cs="宋体" w:hint="eastAsia"/>
          <w:sz w:val="32"/>
          <w:szCs w:val="32"/>
        </w:rPr>
        <w:t>为加快发展散装水泥，节约资源，减少环境污染，保证建设工程质量，提高社会效益和经济效益，根据法律、法规和有关规定，结合本市实际情况，制定本办法。</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第二条 </w:t>
      </w:r>
      <w:r w:rsidRPr="00511C4C">
        <w:rPr>
          <w:rFonts w:ascii="仿宋" w:eastAsia="仿宋" w:hAnsi="仿宋" w:cs="宋体" w:hint="eastAsia"/>
          <w:sz w:val="32"/>
          <w:szCs w:val="32"/>
        </w:rPr>
        <w:t>凡在本市行政区域内从事水泥生产、经营、运输、使用、储存等活动，应当遵守本办法。</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第三条</w:t>
      </w:r>
      <w:r w:rsidRPr="00511C4C">
        <w:rPr>
          <w:rFonts w:ascii="仿宋" w:eastAsia="仿宋" w:hAnsi="仿宋" w:cs="宋体" w:hint="eastAsia"/>
          <w:sz w:val="32"/>
          <w:szCs w:val="32"/>
        </w:rPr>
        <w:t xml:space="preserve"> 本办法所称散装水泥，是指不用包装，直接通过专用装备出厂、运输、储存和使用的水泥。</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第四条</w:t>
      </w:r>
      <w:r w:rsidRPr="00511C4C">
        <w:rPr>
          <w:rFonts w:ascii="仿宋" w:eastAsia="仿宋" w:hAnsi="仿宋" w:cs="宋体" w:hint="eastAsia"/>
          <w:sz w:val="32"/>
          <w:szCs w:val="32"/>
        </w:rPr>
        <w:t xml:space="preserve"> 发展散装水泥，应当坚持限制袋装、鼓励散装、全面规划、统一管理的原则。</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第五条</w:t>
      </w:r>
      <w:r w:rsidRPr="00511C4C">
        <w:rPr>
          <w:rFonts w:ascii="仿宋" w:eastAsia="仿宋" w:hAnsi="仿宋" w:cs="宋体" w:hint="eastAsia"/>
          <w:sz w:val="32"/>
          <w:szCs w:val="32"/>
        </w:rPr>
        <w:t xml:space="preserve"> 市和区县人民政府应当加强对发展散装水泥工作的组织领导，编制散装水泥发展规划，制定年度工作计划。</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对在发展散装水泥事业中有突出贡献的单位和个人，各级人民政府或者有关部门应当给予表彰或者奖励。</w:t>
      </w:r>
    </w:p>
    <w:p w:rsidR="00CB5F7B" w:rsidRPr="00511C4C" w:rsidRDefault="00CB5F7B" w:rsidP="00511C4C">
      <w:pPr>
        <w:pStyle w:val="a5"/>
        <w:spacing w:line="560" w:lineRule="exact"/>
        <w:rPr>
          <w:rFonts w:ascii="仿宋" w:eastAsia="仿宋" w:hAnsi="仿宋" w:cs="宋体"/>
          <w:sz w:val="32"/>
          <w:szCs w:val="32"/>
        </w:rPr>
      </w:pPr>
      <w:r w:rsidRPr="00511C4C">
        <w:rPr>
          <w:rFonts w:ascii="黑体" w:eastAsia="黑体" w:hAnsi="黑体" w:cs="宋体" w:hint="eastAsia"/>
          <w:sz w:val="32"/>
          <w:szCs w:val="32"/>
        </w:rPr>
        <w:t xml:space="preserve">    第六条</w:t>
      </w:r>
      <w:r w:rsidRPr="00511C4C">
        <w:rPr>
          <w:rFonts w:ascii="仿宋" w:eastAsia="仿宋" w:hAnsi="仿宋" w:cs="宋体" w:hint="eastAsia"/>
          <w:sz w:val="32"/>
          <w:szCs w:val="32"/>
        </w:rPr>
        <w:t xml:space="preserve"> 市建设行政主管部门是本市发展散装水泥管理</w:t>
      </w:r>
      <w:r w:rsidRPr="00511C4C">
        <w:rPr>
          <w:rFonts w:ascii="仿宋" w:eastAsia="仿宋" w:hAnsi="仿宋" w:cs="宋体" w:hint="eastAsia"/>
          <w:sz w:val="32"/>
          <w:szCs w:val="32"/>
        </w:rPr>
        <w:lastRenderedPageBreak/>
        <w:t>工作的行政主管部门，市发展散装水泥管理中</w:t>
      </w:r>
      <w:proofErr w:type="gramStart"/>
      <w:r w:rsidRPr="00511C4C">
        <w:rPr>
          <w:rFonts w:ascii="仿宋" w:eastAsia="仿宋" w:hAnsi="仿宋" w:cs="宋体" w:hint="eastAsia"/>
          <w:sz w:val="32"/>
          <w:szCs w:val="32"/>
        </w:rPr>
        <w:t>心负责</w:t>
      </w:r>
      <w:proofErr w:type="gramEnd"/>
      <w:r w:rsidRPr="00511C4C">
        <w:rPr>
          <w:rFonts w:ascii="仿宋" w:eastAsia="仿宋" w:hAnsi="仿宋" w:cs="宋体" w:hint="eastAsia"/>
          <w:sz w:val="32"/>
          <w:szCs w:val="32"/>
        </w:rPr>
        <w:t>本市发展散装水泥的日常管理工作。</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区县人民政府确定的散装水泥管理部门，负责本行政区域内发展散装水泥的管理工作，业务上接受市建设行政主管部门的指导和监督。</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发展改革、财政、质监、工商、环保、公安、交通、统计等部门应当按照各自职责，配合做好发展散装水泥的有关工作。</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第七条 </w:t>
      </w:r>
      <w:r w:rsidRPr="00511C4C">
        <w:rPr>
          <w:rFonts w:ascii="仿宋" w:eastAsia="仿宋" w:hAnsi="仿宋" w:cs="宋体" w:hint="eastAsia"/>
          <w:sz w:val="32"/>
          <w:szCs w:val="32"/>
        </w:rPr>
        <w:t>水泥、预拌混凝土、预拌砂浆生产企业应当建立健全质量保证体系，严格按照国家规定组织生产，保证散装水泥和预拌混凝土符合国家和本市规定的质量标准。</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第八条 </w:t>
      </w:r>
      <w:r w:rsidRPr="00511C4C">
        <w:rPr>
          <w:rFonts w:ascii="仿宋" w:eastAsia="仿宋" w:hAnsi="仿宋" w:cs="宋体" w:hint="eastAsia"/>
          <w:sz w:val="32"/>
          <w:szCs w:val="32"/>
        </w:rPr>
        <w:t>水泥生产企业（包括水泥粉磨站，下同）应当配置散装水泥发放设施、设备，并按照散装水泥发展规划的要求，达到散装水泥发放能力。</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005177CC" w:rsidRPr="00511C4C">
        <w:rPr>
          <w:rFonts w:ascii="仿宋" w:eastAsia="仿宋" w:hAnsi="仿宋" w:cs="宋体" w:hint="eastAsia"/>
          <w:sz w:val="32"/>
          <w:szCs w:val="32"/>
        </w:rPr>
        <w:t xml:space="preserve"> 新建、扩建或者改建的水泥生产企业，散装水泥发放能力应当达到70%以上。</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第九条</w:t>
      </w:r>
      <w:r w:rsidRPr="00511C4C">
        <w:rPr>
          <w:rFonts w:ascii="仿宋" w:eastAsia="仿宋" w:hAnsi="仿宋" w:cs="宋体" w:hint="eastAsia"/>
          <w:sz w:val="32"/>
          <w:szCs w:val="32"/>
        </w:rPr>
        <w:t xml:space="preserve"> 散装水泥的生产、经营、运输、使用单位和个人应当加强计量管理，严格执行国家和本市有关散装水泥计量管理的规定。</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散装水泥的生产、经营、运输、使用单位和个人，应当采取措施，保证散装水泥的生产、装卸、运输、储存和使用设施、设备符合安全和环境保护的要求。</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第十条 </w:t>
      </w:r>
      <w:r w:rsidRPr="00511C4C">
        <w:rPr>
          <w:rFonts w:ascii="仿宋" w:eastAsia="仿宋" w:hAnsi="仿宋" w:cs="宋体" w:hint="eastAsia"/>
          <w:sz w:val="32"/>
          <w:szCs w:val="32"/>
        </w:rPr>
        <w:t>散装水泥的生产、经营、运输、使用、储存单位和个人，应当按照国家和本市散装水泥统计的有关规定，及</w:t>
      </w:r>
      <w:r w:rsidRPr="00511C4C">
        <w:rPr>
          <w:rFonts w:ascii="仿宋" w:eastAsia="仿宋" w:hAnsi="仿宋" w:cs="宋体" w:hint="eastAsia"/>
          <w:sz w:val="32"/>
          <w:szCs w:val="32"/>
        </w:rPr>
        <w:lastRenderedPageBreak/>
        <w:t>时、准确地报送散装水泥统计报表。</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第十一条</w:t>
      </w:r>
      <w:r w:rsidRPr="00511C4C">
        <w:rPr>
          <w:rFonts w:ascii="仿宋" w:eastAsia="仿宋" w:hAnsi="仿宋" w:cs="宋体" w:hint="eastAsia"/>
          <w:sz w:val="32"/>
          <w:szCs w:val="32"/>
        </w:rPr>
        <w:t xml:space="preserve"> 建筑施工企业和水泥制品生产企业应当配置相应的散装水泥和预拌混凝土使用设施、设备，并按照工程设计要求、施工技术标准和合同约定，对使用的散装水泥或者预拌混凝土、预拌砂浆进行检验，未经检验或者检验不合格的，不得使用。</w:t>
      </w:r>
    </w:p>
    <w:p w:rsidR="00470D3A"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第十二条</w:t>
      </w:r>
      <w:r w:rsidR="00470D3A" w:rsidRPr="00511C4C">
        <w:rPr>
          <w:rFonts w:ascii="仿宋" w:eastAsia="仿宋" w:hAnsi="仿宋" w:cs="宋体" w:hint="eastAsia"/>
          <w:sz w:val="32"/>
          <w:szCs w:val="32"/>
        </w:rPr>
        <w:t xml:space="preserve"> 本市行政区域内新建、改建、扩建的建设工程项目，禁止在施工现场搅拌混凝土和砂浆。</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第十三条 </w:t>
      </w:r>
      <w:r w:rsidRPr="00511C4C">
        <w:rPr>
          <w:rFonts w:ascii="仿宋" w:eastAsia="仿宋" w:hAnsi="仿宋" w:cs="宋体" w:hint="eastAsia"/>
          <w:sz w:val="32"/>
          <w:szCs w:val="32"/>
        </w:rPr>
        <w:t>预拌混凝土、预拌砂浆生产企业必须全部使用散装水泥。</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第十四条</w:t>
      </w:r>
      <w:r w:rsidRPr="00511C4C">
        <w:rPr>
          <w:rFonts w:ascii="仿宋" w:eastAsia="仿宋" w:hAnsi="仿宋" w:cs="宋体" w:hint="eastAsia"/>
          <w:sz w:val="32"/>
          <w:szCs w:val="32"/>
        </w:rPr>
        <w:t xml:space="preserve"> 散装水泥专用车、混凝土运输搅拌车、混凝土泵车应当保持车身清洁，防止泄露，避免污染城市环境。</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第十五条</w:t>
      </w:r>
      <w:r w:rsidRPr="00511C4C">
        <w:rPr>
          <w:rFonts w:ascii="仿宋" w:eastAsia="仿宋" w:hAnsi="仿宋" w:cs="宋体" w:hint="eastAsia"/>
          <w:sz w:val="32"/>
          <w:szCs w:val="32"/>
        </w:rPr>
        <w:t xml:space="preserve"> 铁路部门应当做好散装水泥运输调度工作，优先安排计划，优先配车，优先运输，提高运输效率。</w:t>
      </w:r>
    </w:p>
    <w:p w:rsidR="00B07597" w:rsidRPr="00511C4C" w:rsidRDefault="00CB5F7B" w:rsidP="00511C4C">
      <w:pPr>
        <w:pStyle w:val="a5"/>
        <w:spacing w:line="560" w:lineRule="exact"/>
        <w:ind w:firstLine="600"/>
        <w:rPr>
          <w:rFonts w:ascii="仿宋" w:eastAsia="仿宋" w:hAnsi="仿宋" w:cs="宋体"/>
          <w:sz w:val="32"/>
          <w:szCs w:val="32"/>
        </w:rPr>
      </w:pPr>
      <w:r w:rsidRPr="00511C4C">
        <w:rPr>
          <w:rFonts w:ascii="仿宋" w:eastAsia="仿宋" w:hAnsi="仿宋" w:cs="宋体" w:hint="eastAsia"/>
          <w:sz w:val="32"/>
          <w:szCs w:val="32"/>
        </w:rPr>
        <w:t>公安交管部门应当对进入交通控制路段的散装水泥专用车、混凝土运输搅拌车和混凝土泵车提供行车便利，以保障建设工程正常施工。</w:t>
      </w:r>
    </w:p>
    <w:p w:rsidR="00CB5F7B" w:rsidRPr="00511C4C" w:rsidRDefault="00CB5F7B" w:rsidP="00511C4C">
      <w:pPr>
        <w:pStyle w:val="a5"/>
        <w:spacing w:line="560" w:lineRule="exact"/>
        <w:ind w:firstLine="600"/>
        <w:rPr>
          <w:rFonts w:ascii="仿宋" w:eastAsia="仿宋" w:hAnsi="仿宋" w:cs="宋体"/>
          <w:sz w:val="32"/>
          <w:szCs w:val="32"/>
        </w:rPr>
      </w:pPr>
      <w:r w:rsidRPr="00511C4C">
        <w:rPr>
          <w:rFonts w:ascii="黑体" w:eastAsia="黑体" w:hAnsi="黑体" w:cs="宋体" w:hint="eastAsia"/>
          <w:sz w:val="32"/>
          <w:szCs w:val="32"/>
        </w:rPr>
        <w:t>第十</w:t>
      </w:r>
      <w:r w:rsidR="007C362F" w:rsidRPr="00511C4C">
        <w:rPr>
          <w:rFonts w:ascii="黑体" w:eastAsia="黑体" w:hAnsi="黑体" w:cs="宋体" w:hint="eastAsia"/>
          <w:sz w:val="32"/>
          <w:szCs w:val="32"/>
        </w:rPr>
        <w:t>六</w:t>
      </w:r>
      <w:r w:rsidRPr="00511C4C">
        <w:rPr>
          <w:rFonts w:ascii="黑体" w:eastAsia="黑体" w:hAnsi="黑体" w:cs="宋体" w:hint="eastAsia"/>
          <w:sz w:val="32"/>
          <w:szCs w:val="32"/>
        </w:rPr>
        <w:t xml:space="preserve">条 </w:t>
      </w:r>
      <w:r w:rsidRPr="00511C4C">
        <w:rPr>
          <w:rFonts w:ascii="仿宋" w:eastAsia="仿宋" w:hAnsi="仿宋" w:cs="宋体" w:hint="eastAsia"/>
          <w:sz w:val="32"/>
          <w:szCs w:val="32"/>
        </w:rPr>
        <w:t xml:space="preserve">建设单位可以在建设工程竣工验收合格后３０日内，到原散装水泥专项资金征收部门办理结算手续：散装水泥使用率达到７０％以上的，按散装水泥实际使用量退还预先缴纳的散装水泥专项资金；散装水泥使用率低于７０％的，不予退还预先缴纳的散装水泥专项资金。 </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w:t>
      </w:r>
      <w:r w:rsidR="007C362F" w:rsidRPr="00511C4C">
        <w:rPr>
          <w:rFonts w:ascii="黑体" w:eastAsia="黑体" w:hAnsi="黑体" w:cs="宋体" w:hint="eastAsia"/>
          <w:sz w:val="32"/>
          <w:szCs w:val="32"/>
        </w:rPr>
        <w:t>十七</w:t>
      </w:r>
      <w:r w:rsidRPr="00511C4C">
        <w:rPr>
          <w:rFonts w:ascii="黑体" w:eastAsia="黑体" w:hAnsi="黑体" w:cs="宋体" w:hint="eastAsia"/>
          <w:sz w:val="32"/>
          <w:szCs w:val="32"/>
        </w:rPr>
        <w:t xml:space="preserve">条 </w:t>
      </w:r>
      <w:r w:rsidRPr="00511C4C">
        <w:rPr>
          <w:rFonts w:ascii="仿宋" w:eastAsia="仿宋" w:hAnsi="仿宋" w:cs="宋体" w:hint="eastAsia"/>
          <w:sz w:val="32"/>
          <w:szCs w:val="32"/>
        </w:rPr>
        <w:t>散装水泥的生产、经营、运输、使用、储存单位和个人，应当接受散装水泥管理部门的监督检查，不得拒</w:t>
      </w:r>
      <w:r w:rsidRPr="00511C4C">
        <w:rPr>
          <w:rFonts w:ascii="仿宋" w:eastAsia="仿宋" w:hAnsi="仿宋" w:cs="宋体" w:hint="eastAsia"/>
          <w:sz w:val="32"/>
          <w:szCs w:val="32"/>
        </w:rPr>
        <w:lastRenderedPageBreak/>
        <w:t>绝和阻挠。</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w:t>
      </w:r>
      <w:r w:rsidR="007C362F" w:rsidRPr="00511C4C">
        <w:rPr>
          <w:rFonts w:ascii="黑体" w:eastAsia="黑体" w:hAnsi="黑体" w:cs="宋体" w:hint="eastAsia"/>
          <w:sz w:val="32"/>
          <w:szCs w:val="32"/>
        </w:rPr>
        <w:t>十八</w:t>
      </w:r>
      <w:r w:rsidRPr="00511C4C">
        <w:rPr>
          <w:rFonts w:ascii="黑体" w:eastAsia="黑体" w:hAnsi="黑体" w:cs="宋体" w:hint="eastAsia"/>
          <w:sz w:val="32"/>
          <w:szCs w:val="32"/>
        </w:rPr>
        <w:t>条</w:t>
      </w:r>
      <w:r w:rsidRPr="00511C4C">
        <w:rPr>
          <w:rFonts w:ascii="仿宋" w:eastAsia="仿宋" w:hAnsi="仿宋" w:cs="宋体" w:hint="eastAsia"/>
          <w:sz w:val="32"/>
          <w:szCs w:val="32"/>
        </w:rPr>
        <w:t xml:space="preserve"> 违反本办法第八条第一款，水泥生产企业未达到散装水泥发放能力的，由市或者区、县建设行政主管部门责令限期改正，并处以１万元以上３万元以下罚款。</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w:t>
      </w:r>
      <w:r w:rsidR="007C362F" w:rsidRPr="00511C4C">
        <w:rPr>
          <w:rFonts w:ascii="黑体" w:eastAsia="黑体" w:hAnsi="黑体" w:cs="宋体" w:hint="eastAsia"/>
          <w:sz w:val="32"/>
          <w:szCs w:val="32"/>
        </w:rPr>
        <w:t>十九</w:t>
      </w:r>
      <w:r w:rsidRPr="00511C4C">
        <w:rPr>
          <w:rFonts w:ascii="黑体" w:eastAsia="黑体" w:hAnsi="黑体" w:cs="宋体" w:hint="eastAsia"/>
          <w:sz w:val="32"/>
          <w:szCs w:val="32"/>
        </w:rPr>
        <w:t xml:space="preserve">条 </w:t>
      </w:r>
      <w:r w:rsidRPr="00511C4C">
        <w:rPr>
          <w:rFonts w:ascii="仿宋" w:eastAsia="仿宋" w:hAnsi="仿宋" w:cs="宋体" w:hint="eastAsia"/>
          <w:sz w:val="32"/>
          <w:szCs w:val="32"/>
        </w:rPr>
        <w:t>违反本办法第十一条，建筑施工企业和水泥制品生产企业有下列行为之一的，由市或者区、县建设行政主管部门责令限期改正；逾期仍不改正的，处以１万元以上３万元以下罚款：</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（一）未配置散装水泥和预拌混凝土使用设施、设备的；</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（二）使用未经检验或者检验后不合格的散装水泥、预拌混凝土、预拌砂浆的。</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第二十条 </w:t>
      </w:r>
      <w:r w:rsidRPr="00511C4C">
        <w:rPr>
          <w:rFonts w:ascii="仿宋" w:eastAsia="仿宋" w:hAnsi="仿宋" w:cs="宋体" w:hint="eastAsia"/>
          <w:sz w:val="32"/>
          <w:szCs w:val="32"/>
        </w:rPr>
        <w:t>违反本办法第十二条，在施工现场搅拌混凝土的，由市或者区、县建设行政主管部门责令限期改正，并处以２千元以上２万元以下罚款；逾期仍不改正的，责令停工整顿。</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w:t>
      </w:r>
      <w:r w:rsidR="007C362F" w:rsidRPr="00511C4C">
        <w:rPr>
          <w:rFonts w:ascii="黑体" w:eastAsia="黑体" w:hAnsi="黑体" w:cs="宋体" w:hint="eastAsia"/>
          <w:sz w:val="32"/>
          <w:szCs w:val="32"/>
        </w:rPr>
        <w:t>第二十一</w:t>
      </w:r>
      <w:r w:rsidRPr="00511C4C">
        <w:rPr>
          <w:rFonts w:ascii="黑体" w:eastAsia="黑体" w:hAnsi="黑体" w:cs="宋体" w:hint="eastAsia"/>
          <w:sz w:val="32"/>
          <w:szCs w:val="32"/>
        </w:rPr>
        <w:t>条</w:t>
      </w:r>
      <w:r w:rsidRPr="00511C4C">
        <w:rPr>
          <w:rFonts w:ascii="仿宋" w:eastAsia="仿宋" w:hAnsi="仿宋" w:cs="宋体" w:hint="eastAsia"/>
          <w:sz w:val="32"/>
          <w:szCs w:val="32"/>
        </w:rPr>
        <w:t xml:space="preserve"> 违反本办法第十三条，预拌混凝土、预拌砂浆生产企业不使用或者不完全使用散装水泥的，由市或者区县建设行政主管部门责令限期改正，并处以每立方米混凝土１００元或者每吨袋装水泥３００元的罚款，但罚款总额不超过３万元。 </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 xml:space="preserve">  第</w:t>
      </w:r>
      <w:r w:rsidR="007C362F" w:rsidRPr="00511C4C">
        <w:rPr>
          <w:rFonts w:ascii="黑体" w:eastAsia="黑体" w:hAnsi="黑体" w:cs="宋体" w:hint="eastAsia"/>
          <w:sz w:val="32"/>
          <w:szCs w:val="32"/>
        </w:rPr>
        <w:t>二十二</w:t>
      </w:r>
      <w:r w:rsidRPr="00511C4C">
        <w:rPr>
          <w:rFonts w:ascii="黑体" w:eastAsia="黑体" w:hAnsi="黑体" w:cs="宋体" w:hint="eastAsia"/>
          <w:sz w:val="32"/>
          <w:szCs w:val="32"/>
        </w:rPr>
        <w:t>条</w:t>
      </w:r>
      <w:r w:rsidRPr="00511C4C">
        <w:rPr>
          <w:rFonts w:ascii="仿宋" w:eastAsia="仿宋" w:hAnsi="仿宋" w:cs="宋体" w:hint="eastAsia"/>
          <w:sz w:val="32"/>
          <w:szCs w:val="32"/>
        </w:rPr>
        <w:t xml:space="preserve"> 散装水泥管理部门工作人员玩忽职守、滥用职权、徇私舞弊的，由其所在单位或者上级主管部门给予行政处分；构成犯罪的，依法追究刑事责任。</w:t>
      </w:r>
    </w:p>
    <w:p w:rsidR="00CB5F7B" w:rsidRPr="00511C4C" w:rsidRDefault="00CB5F7B" w:rsidP="00511C4C">
      <w:pPr>
        <w:pStyle w:val="a5"/>
        <w:spacing w:line="560" w:lineRule="exact"/>
        <w:rPr>
          <w:rFonts w:ascii="仿宋" w:eastAsia="仿宋" w:hAnsi="仿宋" w:cs="宋体"/>
          <w:sz w:val="32"/>
          <w:szCs w:val="32"/>
        </w:rPr>
      </w:pPr>
      <w:r w:rsidRPr="00511C4C">
        <w:rPr>
          <w:rFonts w:ascii="仿宋" w:eastAsia="仿宋" w:hAnsi="仿宋" w:cs="宋体" w:hint="eastAsia"/>
          <w:sz w:val="32"/>
          <w:szCs w:val="32"/>
        </w:rPr>
        <w:t xml:space="preserve">    </w:t>
      </w:r>
      <w:r w:rsidRPr="00511C4C">
        <w:rPr>
          <w:rFonts w:ascii="黑体" w:eastAsia="黑体" w:hAnsi="黑体" w:cs="宋体" w:hint="eastAsia"/>
          <w:sz w:val="32"/>
          <w:szCs w:val="32"/>
        </w:rPr>
        <w:t>第</w:t>
      </w:r>
      <w:r w:rsidR="007C362F" w:rsidRPr="00511C4C">
        <w:rPr>
          <w:rFonts w:ascii="黑体" w:eastAsia="黑体" w:hAnsi="黑体" w:cs="宋体" w:hint="eastAsia"/>
          <w:sz w:val="32"/>
          <w:szCs w:val="32"/>
        </w:rPr>
        <w:t>二十三</w:t>
      </w:r>
      <w:r w:rsidRPr="00511C4C">
        <w:rPr>
          <w:rFonts w:ascii="黑体" w:eastAsia="黑体" w:hAnsi="黑体" w:cs="宋体" w:hint="eastAsia"/>
          <w:sz w:val="32"/>
          <w:szCs w:val="32"/>
        </w:rPr>
        <w:t>条</w:t>
      </w:r>
      <w:r w:rsidRPr="00511C4C">
        <w:rPr>
          <w:rFonts w:ascii="仿宋" w:eastAsia="仿宋" w:hAnsi="仿宋" w:cs="宋体" w:hint="eastAsia"/>
          <w:sz w:val="32"/>
          <w:szCs w:val="32"/>
        </w:rPr>
        <w:t xml:space="preserve"> 本办法自２００５年９月１日起施行。在此</w:t>
      </w:r>
      <w:r w:rsidRPr="00511C4C">
        <w:rPr>
          <w:rFonts w:ascii="仿宋" w:eastAsia="仿宋" w:hAnsi="仿宋" w:cs="宋体" w:hint="eastAsia"/>
          <w:sz w:val="32"/>
          <w:szCs w:val="32"/>
        </w:rPr>
        <w:lastRenderedPageBreak/>
        <w:t>之前本市颁布的有关规定与本办法有抵触的，按本办法执行。</w:t>
      </w:r>
    </w:p>
    <w:p w:rsidR="00431D24" w:rsidRPr="00CB5F7B" w:rsidRDefault="00431D24"/>
    <w:sectPr w:rsidR="00431D24" w:rsidRPr="00CB5F7B" w:rsidSect="00572F8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A3" w:rsidRDefault="00E57DA3" w:rsidP="00CB5F7B">
      <w:r>
        <w:separator/>
      </w:r>
    </w:p>
  </w:endnote>
  <w:endnote w:type="continuationSeparator" w:id="0">
    <w:p w:rsidR="00E57DA3" w:rsidRDefault="00E57DA3" w:rsidP="00CB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A3" w:rsidRDefault="00E57DA3" w:rsidP="00CB5F7B">
      <w:r>
        <w:separator/>
      </w:r>
    </w:p>
  </w:footnote>
  <w:footnote w:type="continuationSeparator" w:id="0">
    <w:p w:rsidR="00E57DA3" w:rsidRDefault="00E57DA3" w:rsidP="00CB5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86"/>
    <w:rsid w:val="002575E8"/>
    <w:rsid w:val="00265817"/>
    <w:rsid w:val="003F2C42"/>
    <w:rsid w:val="00406217"/>
    <w:rsid w:val="00431D24"/>
    <w:rsid w:val="00470D3A"/>
    <w:rsid w:val="004724D0"/>
    <w:rsid w:val="00511C4C"/>
    <w:rsid w:val="005177CC"/>
    <w:rsid w:val="00711A66"/>
    <w:rsid w:val="007C362F"/>
    <w:rsid w:val="00863224"/>
    <w:rsid w:val="00AF4944"/>
    <w:rsid w:val="00B07597"/>
    <w:rsid w:val="00B523A6"/>
    <w:rsid w:val="00CB5F7B"/>
    <w:rsid w:val="00CD71E7"/>
    <w:rsid w:val="00D56C86"/>
    <w:rsid w:val="00DF2E8D"/>
    <w:rsid w:val="00E57DA3"/>
    <w:rsid w:val="00F51878"/>
    <w:rsid w:val="00FE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F7B"/>
    <w:rPr>
      <w:sz w:val="18"/>
      <w:szCs w:val="18"/>
    </w:rPr>
  </w:style>
  <w:style w:type="paragraph" w:styleId="a4">
    <w:name w:val="footer"/>
    <w:basedOn w:val="a"/>
    <w:link w:val="Char0"/>
    <w:uiPriority w:val="99"/>
    <w:unhideWhenUsed/>
    <w:rsid w:val="00CB5F7B"/>
    <w:pPr>
      <w:tabs>
        <w:tab w:val="center" w:pos="4153"/>
        <w:tab w:val="right" w:pos="8306"/>
      </w:tabs>
      <w:snapToGrid w:val="0"/>
      <w:jc w:val="left"/>
    </w:pPr>
    <w:rPr>
      <w:sz w:val="18"/>
      <w:szCs w:val="18"/>
    </w:rPr>
  </w:style>
  <w:style w:type="character" w:customStyle="1" w:styleId="Char0">
    <w:name w:val="页脚 Char"/>
    <w:basedOn w:val="a0"/>
    <w:link w:val="a4"/>
    <w:uiPriority w:val="99"/>
    <w:rsid w:val="00CB5F7B"/>
    <w:rPr>
      <w:sz w:val="18"/>
      <w:szCs w:val="18"/>
    </w:rPr>
  </w:style>
  <w:style w:type="paragraph" w:styleId="a5">
    <w:name w:val="Plain Text"/>
    <w:basedOn w:val="a"/>
    <w:link w:val="Char1"/>
    <w:uiPriority w:val="99"/>
    <w:unhideWhenUsed/>
    <w:rsid w:val="00CB5F7B"/>
    <w:rPr>
      <w:rFonts w:ascii="宋体" w:eastAsia="宋体" w:hAnsi="Courier New" w:cs="Courier New"/>
      <w:szCs w:val="21"/>
    </w:rPr>
  </w:style>
  <w:style w:type="character" w:customStyle="1" w:styleId="Char1">
    <w:name w:val="纯文本 Char"/>
    <w:basedOn w:val="a0"/>
    <w:link w:val="a5"/>
    <w:uiPriority w:val="99"/>
    <w:rsid w:val="00CB5F7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F7B"/>
    <w:rPr>
      <w:sz w:val="18"/>
      <w:szCs w:val="18"/>
    </w:rPr>
  </w:style>
  <w:style w:type="paragraph" w:styleId="a4">
    <w:name w:val="footer"/>
    <w:basedOn w:val="a"/>
    <w:link w:val="Char0"/>
    <w:uiPriority w:val="99"/>
    <w:unhideWhenUsed/>
    <w:rsid w:val="00CB5F7B"/>
    <w:pPr>
      <w:tabs>
        <w:tab w:val="center" w:pos="4153"/>
        <w:tab w:val="right" w:pos="8306"/>
      </w:tabs>
      <w:snapToGrid w:val="0"/>
      <w:jc w:val="left"/>
    </w:pPr>
    <w:rPr>
      <w:sz w:val="18"/>
      <w:szCs w:val="18"/>
    </w:rPr>
  </w:style>
  <w:style w:type="character" w:customStyle="1" w:styleId="Char0">
    <w:name w:val="页脚 Char"/>
    <w:basedOn w:val="a0"/>
    <w:link w:val="a4"/>
    <w:uiPriority w:val="99"/>
    <w:rsid w:val="00CB5F7B"/>
    <w:rPr>
      <w:sz w:val="18"/>
      <w:szCs w:val="18"/>
    </w:rPr>
  </w:style>
  <w:style w:type="paragraph" w:styleId="a5">
    <w:name w:val="Plain Text"/>
    <w:basedOn w:val="a"/>
    <w:link w:val="Char1"/>
    <w:uiPriority w:val="99"/>
    <w:unhideWhenUsed/>
    <w:rsid w:val="00CB5F7B"/>
    <w:rPr>
      <w:rFonts w:ascii="宋体" w:eastAsia="宋体" w:hAnsi="Courier New" w:cs="Courier New"/>
      <w:szCs w:val="21"/>
    </w:rPr>
  </w:style>
  <w:style w:type="character" w:customStyle="1" w:styleId="Char1">
    <w:name w:val="纯文本 Char"/>
    <w:basedOn w:val="a0"/>
    <w:link w:val="a5"/>
    <w:uiPriority w:val="99"/>
    <w:rsid w:val="00CB5F7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336</Words>
  <Characters>1917</Characters>
  <Application>Microsoft Office Word</Application>
  <DocSecurity>0</DocSecurity>
  <Lines>15</Lines>
  <Paragraphs>4</Paragraphs>
  <ScaleCrop>false</ScaleCrop>
  <Company>Microsoft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16</cp:revision>
  <dcterms:created xsi:type="dcterms:W3CDTF">2020-11-25T03:10:00Z</dcterms:created>
  <dcterms:modified xsi:type="dcterms:W3CDTF">2020-12-31T00:41:00Z</dcterms:modified>
</cp:coreProperties>
</file>