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360" w:lineRule="auto"/>
        <w:jc w:val="center"/>
        <w:rPr>
          <w:rFonts w:hint="default" w:ascii="Times New Roman" w:hAnsi="Times New Roman" w:eastAsia="黑体" w:cs="Times New Roman"/>
          <w:color w:val="000000"/>
          <w:sz w:val="44"/>
          <w:szCs w:val="44"/>
        </w:rPr>
      </w:pPr>
    </w:p>
    <w:p>
      <w:pPr>
        <w:pStyle w:val="9"/>
        <w:adjustRightInd w:val="0"/>
        <w:snapToGrid w:val="0"/>
        <w:spacing w:after="0" w:line="360"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天津市安全生产条例（修订）</w:t>
      </w:r>
    </w:p>
    <w:p>
      <w:pPr>
        <w:pStyle w:val="9"/>
        <w:adjustRightInd w:val="0"/>
        <w:snapToGrid w:val="0"/>
        <w:spacing w:after="0" w:line="360"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（送审稿）</w:t>
      </w:r>
    </w:p>
    <w:p>
      <w:pPr>
        <w:pStyle w:val="9"/>
        <w:adjustRightInd w:val="0"/>
        <w:snapToGrid w:val="0"/>
        <w:spacing w:after="0" w:line="360" w:lineRule="auto"/>
        <w:jc w:val="left"/>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 xml:space="preserve">  </w:t>
      </w:r>
    </w:p>
    <w:p>
      <w:pPr>
        <w:pStyle w:val="9"/>
        <w:adjustRightInd w:val="0"/>
        <w:snapToGrid w:val="0"/>
        <w:spacing w:after="0" w:line="360" w:lineRule="auto"/>
        <w:jc w:val="center"/>
        <w:rPr>
          <w:rFonts w:hint="default" w:ascii="Times New Roman" w:hAnsi="Times New Roman" w:eastAsia="方正仿宋简体" w:cs="Times New Roman"/>
          <w:color w:val="000000"/>
          <w:sz w:val="32"/>
          <w:szCs w:val="32"/>
        </w:rPr>
      </w:pPr>
    </w:p>
    <w:p>
      <w:pPr>
        <w:adjustRightInd w:val="0"/>
        <w:snapToGrid w:val="0"/>
        <w:spacing w:after="0" w:line="360" w:lineRule="auto"/>
        <w:ind w:firstLine="645"/>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　　则</w:t>
      </w:r>
    </w:p>
    <w:p>
      <w:pPr>
        <w:adjustRightInd w:val="0"/>
        <w:snapToGrid w:val="0"/>
        <w:spacing w:after="0" w:line="360" w:lineRule="auto"/>
        <w:ind w:firstLine="645"/>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生产经营单位的安全生产保障</w:t>
      </w:r>
    </w:p>
    <w:p>
      <w:pPr>
        <w:pStyle w:val="12"/>
        <w:adjustRightInd w:val="0"/>
        <w:spacing w:after="0" w:line="360" w:lineRule="auto"/>
        <w:ind w:firstLine="1866" w:firstLineChars="600"/>
        <w:rPr>
          <w:rFonts w:hint="default" w:ascii="Times New Roman" w:hAnsi="Times New Roman" w:eastAsia="黑体" w:cs="Times New Roman"/>
          <w:color w:val="000000"/>
          <w:sz w:val="32"/>
          <w:szCs w:val="32"/>
        </w:rPr>
      </w:pPr>
      <w:bookmarkStart w:id="29" w:name="_GoBack"/>
      <w:bookmarkEnd w:id="29"/>
      <w:r>
        <w:rPr>
          <w:rFonts w:hint="default" w:ascii="Times New Roman" w:hAnsi="Times New Roman" w:eastAsia="黑体" w:cs="Times New Roman"/>
          <w:color w:val="000000"/>
          <w:sz w:val="32"/>
          <w:szCs w:val="32"/>
        </w:rPr>
        <w:t>第一节 一般规定</w:t>
      </w:r>
    </w:p>
    <w:p>
      <w:pPr>
        <w:pStyle w:val="12"/>
        <w:adjustRightInd w:val="0"/>
        <w:spacing w:after="0" w:line="360" w:lineRule="auto"/>
        <w:ind w:firstLine="1866" w:firstLineChars="6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第二节 特别规定</w:t>
      </w:r>
    </w:p>
    <w:p>
      <w:pPr>
        <w:adjustRightInd w:val="0"/>
        <w:snapToGrid w:val="0"/>
        <w:spacing w:after="0" w:line="360" w:lineRule="auto"/>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第三章　安全生产监督管理</w:t>
      </w:r>
    </w:p>
    <w:p>
      <w:pPr>
        <w:adjustRightInd w:val="0"/>
        <w:snapToGrid w:val="0"/>
        <w:spacing w:after="0" w:line="360" w:lineRule="auto"/>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第四章　社会共治</w:t>
      </w:r>
    </w:p>
    <w:p>
      <w:pPr>
        <w:adjustRightInd w:val="0"/>
        <w:snapToGrid w:val="0"/>
        <w:spacing w:after="0" w:line="360" w:lineRule="auto"/>
        <w:ind w:firstLine="622"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　应急救援与事故调查处理</w:t>
      </w:r>
    </w:p>
    <w:p>
      <w:pPr>
        <w:adjustRightInd w:val="0"/>
        <w:snapToGrid w:val="0"/>
        <w:spacing w:after="0" w:line="360" w:lineRule="auto"/>
        <w:ind w:firstLine="622" w:firstLineChars="200"/>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第六章  法律责任</w:t>
      </w:r>
    </w:p>
    <w:p>
      <w:pPr>
        <w:adjustRightInd w:val="0"/>
        <w:snapToGrid w:val="0"/>
        <w:spacing w:after="0" w:line="360" w:lineRule="auto"/>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第七章　附　　则</w:t>
      </w:r>
    </w:p>
    <w:p>
      <w:pPr>
        <w:adjustRightInd w:val="0"/>
        <w:snapToGrid w:val="0"/>
        <w:spacing w:after="0" w:line="360" w:lineRule="auto"/>
        <w:jc w:val="left"/>
        <w:rPr>
          <w:rFonts w:hint="default" w:ascii="Times New Roman" w:hAnsi="Times New Roman" w:eastAsia="黑体" w:cs="Times New Roman"/>
          <w:color w:val="000000"/>
          <w:sz w:val="32"/>
          <w:szCs w:val="32"/>
        </w:rPr>
      </w:pPr>
    </w:p>
    <w:p>
      <w:pPr>
        <w:adjustRightInd w:val="0"/>
        <w:snapToGrid w:val="0"/>
        <w:spacing w:after="0" w:line="360" w:lineRule="auto"/>
        <w:jc w:val="left"/>
        <w:rPr>
          <w:rFonts w:hint="default" w:ascii="Times New Roman" w:hAnsi="Times New Roman" w:eastAsia="黑体" w:cs="Times New Roman"/>
          <w:color w:val="000000"/>
        </w:rPr>
      </w:pPr>
    </w:p>
    <w:p>
      <w:pPr>
        <w:adjustRightInd w:val="0"/>
        <w:snapToGrid w:val="0"/>
        <w:spacing w:after="0" w:line="360" w:lineRule="auto"/>
        <w:rPr>
          <w:rFonts w:hint="default" w:ascii="Times New Roman" w:hAnsi="Times New Roman" w:eastAsia="黑体" w:cs="Times New Roman"/>
          <w:color w:val="000000"/>
          <w:sz w:val="32"/>
          <w:szCs w:val="32"/>
        </w:rPr>
      </w:pPr>
    </w:p>
    <w:p>
      <w:pPr>
        <w:adjustRightInd w:val="0"/>
        <w:snapToGrid w:val="0"/>
        <w:spacing w:after="0" w:line="360" w:lineRule="auto"/>
        <w:jc w:val="center"/>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rPr>
        <w:t>第一章　总　　则</w:t>
      </w:r>
    </w:p>
    <w:p>
      <w:pPr>
        <w:pStyle w:val="15"/>
        <w:adjustRightInd w:val="0"/>
        <w:snapToGrid w:val="0"/>
        <w:spacing w:before="0" w:beforeAutospacing="0" w:after="0" w:afterAutospacing="0"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第一条【立法目的】</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为了加强安全生产工作，防止和减少生产安全事故，保障人民群众生命和财产安全，促进经济社会持续健康发展，根据《</w:t>
      </w:r>
      <w:r>
        <w:rPr>
          <w:rFonts w:hint="default" w:ascii="Times New Roman" w:hAnsi="Times New Roman" w:cs="Times New Roman"/>
        </w:rPr>
        <w:fldChar w:fldCharType="begin"/>
      </w:r>
      <w:r>
        <w:rPr>
          <w:rFonts w:hint="default" w:ascii="Times New Roman" w:hAnsi="Times New Roman" w:cs="Times New Roman"/>
        </w:rPr>
        <w:instrText xml:space="preserve"> HYPERLINK "https://www.pkulaw.com/chl/16cf50d7eefbc9f4bdfb.html"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中华人民共和国安全生产法</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》等有关法律、行政法规的规定，结合本市实际，制定本条例。</w:t>
      </w:r>
    </w:p>
    <w:p>
      <w:pPr>
        <w:pStyle w:val="9"/>
        <w:spacing w:line="590" w:lineRule="exact"/>
        <w:ind w:firstLine="622" w:firstLineChars="200"/>
        <w:rPr>
          <w:rFonts w:hint="default" w:ascii="Times New Roman" w:hAnsi="Times New Roman" w:eastAsia="仿宋_GB2312" w:cs="Times New Roman"/>
          <w:color w:val="000000"/>
          <w:kern w:val="0"/>
          <w:sz w:val="32"/>
          <w:szCs w:val="32"/>
        </w:rPr>
      </w:pPr>
      <w:r>
        <w:rPr>
          <w:rFonts w:hint="default" w:ascii="Times New Roman" w:hAnsi="Times New Roman" w:eastAsia="方正黑体_GBK" w:cs="Times New Roman"/>
          <w:sz w:val="32"/>
          <w:szCs w:val="32"/>
        </w:rPr>
        <w:t>第二条【适用范围】</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color w:val="000000"/>
          <w:kern w:val="0"/>
          <w:sz w:val="32"/>
          <w:szCs w:val="32"/>
        </w:rPr>
        <w:t>本条例适用于本市行政区域内从事生产经营活动的单位（以下简称生产经营单位）的安全生产及其监督管理。</w:t>
      </w:r>
    </w:p>
    <w:p>
      <w:pPr>
        <w:pStyle w:val="9"/>
        <w:spacing w:line="590" w:lineRule="exact"/>
        <w:ind w:firstLine="402" w:firstLineChars="200"/>
        <w:rPr>
          <w:rFonts w:hint="default" w:ascii="Times New Roman" w:hAnsi="Times New Roman" w:eastAsia="仿宋_GB2312" w:cs="Times New Roman"/>
          <w:color w:val="000000"/>
          <w:kern w:val="0"/>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eastAsia="仿宋_GB2312" w:cs="Times New Roman"/>
          <w:color w:val="000000"/>
          <w:kern w:val="0"/>
          <w:sz w:val="32"/>
          <w:szCs w:val="32"/>
        </w:rPr>
        <w:t>有关法律、法规对消防安全、道路交通安全、铁路交通安全、水上交通安全、民用航空安全、核与辐射安全以及特种设备安全另有规定的，适用其规定。</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第三条【工作方针】</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安全生产工作坚持中国共产党的领导。</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安全生产工作应当以人为本，坚持人民至上、生命至上，把保护人民生命安全摆在首位，树牢安全发展理念，坚持安全第一、预防为主、综合治理的方针，从源头上防范化解重大安全风险。</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安全生产工作坚持党政同责、一岗双责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属地管理，实行管行业必须管安全、管业务必须管安全、管生产经营必须管安全，强化和落实生产经营单位主体责任与政府监管责任，建立生产经营单位负责、职工参与、政府监管、行业自律和社会监督的机制。</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第四条【生产经营单位主体责任】</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 生产经营单位是安全生产的责任主体，应当加大对安全生产资金、物资、技术、人员的投入保障力度，改善安全生产条件，加强安全生产标准化、信息化建设，构建安全风险分级管控和隐患排查治理双重预防机制，健全风险防范化解机制，强化安全生产基础建设，落实安全生产措施，提高安全生产水平，确保安全生产。</w:t>
      </w:r>
    </w:p>
    <w:p>
      <w:pPr>
        <w:pStyle w:val="9"/>
        <w:spacing w:line="590" w:lineRule="exact"/>
        <w:ind w:firstLine="622" w:firstLineChars="200"/>
        <w:rPr>
          <w:rFonts w:hint="default" w:ascii="Times New Roman" w:hAnsi="Times New Roman" w:eastAsia="仿宋_GB2312" w:cs="Times New Roman"/>
          <w:color w:val="000000"/>
        </w:rPr>
      </w:pPr>
      <w:bookmarkStart w:id="0" w:name="No23_Z1T5K2"/>
      <w:bookmarkEnd w:id="0"/>
      <w:r>
        <w:rPr>
          <w:rFonts w:hint="default" w:ascii="Times New Roman" w:hAnsi="Times New Roman" w:eastAsia="仿宋_GB2312" w:cs="Times New Roman"/>
          <w:sz w:val="32"/>
          <w:szCs w:val="32"/>
        </w:rPr>
        <w:t>生产经营单位的主要负责人是本单位安全生产第一责任人，对本单位的安全生产工作全面负责；分管安全生产工作的负责人，承担安全生产综合管理领导责任；其他负责人对各自职责范围内的安全生产承担直接领导责任。</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第五条【政府职责】</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市和区人民政府应当根据国民经济和社会发展规划制定安全生产规划，并组织实施。安全生产规划应当与国土空间规划等相关规划相衔接。</w:t>
      </w:r>
    </w:p>
    <w:p>
      <w:pPr>
        <w:pStyle w:val="9"/>
        <w:spacing w:line="590" w:lineRule="exact"/>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eastAsia="仿宋_GB2312" w:cs="Times New Roman"/>
          <w:sz w:val="32"/>
          <w:szCs w:val="32"/>
        </w:rPr>
        <w:t>市和区人民政府应当加强对安全生产工作的领导，建立健全安全生产工作协调机制，支持、督促各有关部门依法履行安全生产监督管理职责，及时协调、解决安全生产监督管理中存在的重大问题；组织负有安全生产监督管理职责的部门依法编制和适时修订安全生产权力和责任清单，向社会公开并接受监督。新兴行业、领域的安全生产监督管理职责不明确的，由市和区人民政府按照业务相近的原则，确定监督管理部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市和区人民政府应当保障安全生产基础设施建设和安全生产监管能力建设所需经费，并纳入本级预算。对于涉及公共安全的重大生产安全事故隐患治理、生产安全事故应急救援和调查处理所需经费应当予以保障。</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第六条【安全生产委员会】</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安全生产委员会负责研究部署、统筹协调、推动解决本行政区域内安全生产工作中的重大事项和重大问题，研究确定各成员单位的安全生产职责分工。市和区安全生产委员会办公室设在同级应急管理部门，承担安全生产委员会的日常工作。</w:t>
      </w:r>
    </w:p>
    <w:p>
      <w:pPr>
        <w:pStyle w:val="9"/>
        <w:spacing w:line="590" w:lineRule="exact"/>
        <w:ind w:firstLine="622"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安全生产委员会可以根据需要设立危险化学品安全、建设施工安全、交通运输安全、特种设备安全、燃气安全等专业委员会，负责指导、协调、推动重点行业、领域安全生产工作，组织开展重点行业、领域专项治理，研究解决重点难点问题。专业委员会接受安全生产委员会统一领导。市和区有关负有安全生产监督管理职责的部门承担专业委员会的日常工作。</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第七条【行政首长责任】</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各级人民政府及其有关部门的主要负责人对安全生产工作负全面领导责任；分管安全生产监督管理的负责人对安全生产综合监督管理工作负领导责任；其他</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eastAsia="仿宋_GB2312" w:cs="Times New Roman"/>
          <w:sz w:val="32"/>
          <w:szCs w:val="32"/>
        </w:rPr>
        <w:t>负责人对分管范围内安全生产工作负领导责任。</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各级人民政府及其有关部门应当按照国家和本市有关规定，建立健全和落实安全生产监督管理责任制。</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第八条【基层管理】</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乡镇人民政府和街道办事处，以及开发区、工业园区、港区、风景区等应当明确负责安全生产监督管理的有关工作机构及其职责，加强安全生产监管力量建设，保障其履行职责所需的人员、经费、装备。按照职责对本行政区域或者管理区域内生产经营单位安全生产状况进行监督检查，协助人民政府有关部门或者按照授权依法履行安全生产监督管理职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居民委员会、村民委员会发现区域内的生产经营单位存在事故隐患或者安全生产违法行为时，应当向所在地人民政府或者有关部门报告。</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第九条【部门职责】</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市和区人民政府应急管理部门依法对本行政区域内的安全生产工作实施综合监督管理，</w:t>
      </w:r>
      <w:r>
        <w:rPr>
          <w:rFonts w:hint="default" w:ascii="Times New Roman" w:hAnsi="Times New Roman" w:eastAsia="仿宋_GB2312" w:cs="Times New Roman"/>
          <w:sz w:val="32"/>
          <w:szCs w:val="32"/>
          <w:lang w:val="zh-CN"/>
        </w:rPr>
        <w:t>指导协调、监督检查、巡查考核</w:t>
      </w:r>
      <w:r>
        <w:rPr>
          <w:rFonts w:hint="default" w:ascii="Times New Roman" w:hAnsi="Times New Roman" w:eastAsia="仿宋_GB2312" w:cs="Times New Roman"/>
          <w:sz w:val="32"/>
          <w:szCs w:val="32"/>
        </w:rPr>
        <w:t>本级人民政府有关部门和下级人民政府履行安全生产监督管理职责。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管理部门和对有关行业、领域的安全生产工作实施监督管理的部门，统称负有安全生产监督管理职责的部门。负有安全生产监督管理职责的部门依照《中华人民共和国安全生产法》及有关法律、法规的规定，在各自的职责范围内对有关的安全生产工作实施监督管理。</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负有安全生产监督管理职责的部门应当相互配合、齐抓共管、信息共享、资源共用，依法加强安全生产监督管理工作。</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第十条【行政奖励】</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及其有关部门应当按照国家和本市规定，对在改善安全生产条件、防止或者减少生产安全事故、参加抢险救护、研究和推广安全生产科学技术、安全生产监督管理等方面取得显著成绩的单位和个人，给予奖励。</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第十一条【社会宣传教育】</w:t>
      </w:r>
      <w:r>
        <w:rPr>
          <w:rFonts w:hint="default" w:ascii="Times New Roman" w:hAnsi="Times New Roman" w:eastAsia="仿宋_GB2312" w:cs="Times New Roman"/>
          <w:sz w:val="32"/>
          <w:szCs w:val="32"/>
        </w:rPr>
        <w:t>各级人民政府及有关部门应当采取多种形式，加强安全生产法律、法规和安全生产知识的宣传教育，推进安全文化建设</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积极创建国家安全发展示范城市，</w:t>
      </w:r>
      <w:r>
        <w:rPr>
          <w:rFonts w:hint="default" w:ascii="Times New Roman" w:hAnsi="Times New Roman" w:eastAsia="仿宋_GB2312" w:cs="Times New Roman"/>
          <w:sz w:val="32"/>
          <w:szCs w:val="32"/>
        </w:rPr>
        <w:t>提高全社会的安全生产意识和事故防范能力。</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新闻、</w:t>
      </w:r>
      <w:r>
        <w:rPr>
          <w:rFonts w:hint="default" w:ascii="Times New Roman" w:hAnsi="Times New Roman" w:eastAsia="仿宋_GB2312" w:cs="Times New Roman"/>
          <w:sz w:val="32"/>
          <w:szCs w:val="32"/>
        </w:rPr>
        <w:t>出版、广播、电视、报刊、网络等单位应当开展安全生产公益性宣传教育，提升全社会安全防范意识。</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第十二条【京津冀协同】</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市人民政府及有关部门应当建立健全与周边省份区域安全生产协同机制，统筹协调安全生产重大问题，开展跨区域安全生产执法协作。</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推进京津冀安全生产地方标准建设，强化信息互通、资源共享和重大安全风险联合管控，加强应急预案衔接和应急救援联动机制建设，推动京津冀安全生产协同发展。</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第十三条【工会监督】</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工会依法对安全生产工作进行监督。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生产经营单位的工会依法组织职工参加本单位安全生产工作的民主管理和民主监督，生产经营单位制定或者修改安全生产规章制度，应当听取工会的意见。</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第十四条【科技创新】</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本市鼓励安全生产科学技术研究，支持有利于提高安全生产技术水平的新工艺、新技术、新材料、新设备的推广应用和管理数字化转型，扶持技术含量高、安全效用强、应用场景广的安全生产科技项目，提升本质安全水平。</w:t>
      </w:r>
    </w:p>
    <w:p>
      <w:pPr>
        <w:adjustRightInd w:val="0"/>
        <w:snapToGrid w:val="0"/>
        <w:spacing w:line="360" w:lineRule="auto"/>
        <w:jc w:val="center"/>
        <w:rPr>
          <w:rFonts w:hint="default" w:ascii="Times New Roman" w:hAnsi="Times New Roman" w:eastAsia="黑体" w:cs="Times New Roman"/>
          <w:color w:val="000000"/>
        </w:rPr>
      </w:pPr>
    </w:p>
    <w:p>
      <w:pPr>
        <w:adjustRightInd w:val="0"/>
        <w:snapToGrid w:val="0"/>
        <w:spacing w:line="360" w:lineRule="auto"/>
        <w:jc w:val="center"/>
        <w:rPr>
          <w:rFonts w:hint="default" w:ascii="Times New Roman" w:hAnsi="Times New Roman" w:eastAsia="黑体" w:cs="Times New Roman"/>
          <w:color w:val="000000"/>
        </w:rPr>
      </w:pPr>
    </w:p>
    <w:p>
      <w:pPr>
        <w:adjustRightInd w:val="0"/>
        <w:snapToGrid w:val="0"/>
        <w:spacing w:line="360" w:lineRule="auto"/>
        <w:jc w:val="center"/>
        <w:rPr>
          <w:rFonts w:hint="default" w:ascii="Times New Roman" w:hAnsi="Times New Roman" w:eastAsia="黑体" w:cs="Times New Roman"/>
          <w:color w:val="000000"/>
        </w:rPr>
      </w:pPr>
      <w:r>
        <w:rPr>
          <w:rFonts w:hint="default" w:ascii="Times New Roman" w:hAnsi="Times New Roman" w:eastAsia="黑体" w:cs="Times New Roman"/>
          <w:color w:val="000000"/>
          <w:sz w:val="32"/>
          <w:szCs w:val="32"/>
        </w:rPr>
        <w:t>第二章   生产经营单位的安全生产保障</w:t>
      </w:r>
    </w:p>
    <w:p>
      <w:pPr>
        <w:pStyle w:val="12"/>
        <w:adjustRightInd w:val="0"/>
        <w:spacing w:line="360" w:lineRule="auto"/>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第一节 一般规定</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第十五条【安全生产条件】</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生产经营单位应当具备法律、法规、规章和国家标准或者行业标准规定的</w:t>
      </w:r>
      <w:bookmarkStart w:id="1" w:name="_Hlk145925018"/>
      <w:r>
        <w:rPr>
          <w:rFonts w:hint="default" w:ascii="Times New Roman" w:hAnsi="Times New Roman" w:eastAsia="仿宋_GB2312" w:cs="Times New Roman"/>
          <w:sz w:val="32"/>
          <w:szCs w:val="32"/>
        </w:rPr>
        <w:t>安全生产条件</w:t>
      </w:r>
      <w:bookmarkEnd w:id="1"/>
      <w:r>
        <w:rPr>
          <w:rFonts w:hint="default" w:ascii="Times New Roman" w:hAnsi="Times New Roman" w:eastAsia="仿宋_GB2312" w:cs="Times New Roman"/>
          <w:sz w:val="32"/>
          <w:szCs w:val="32"/>
        </w:rPr>
        <w:t>；不具备安全生产条件的，不得从事生产经营活动。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第十六条【负责人职责】</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的主要负责人应当履行法律、法规、规章规定的安全生产职责，定期分析安全生产形势，组织研究安全生产工作，每年至少向职工大会或者职工代表大会报告一次安全生产情况。未建立职工代表大会制度的生产经营单位，应当每年向从业人员通报安全生产工作情况。</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第十七条【全员责任制】</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建立健全并落实全员安全生产责任制，明确各岗位的责任人员、责任范围和考核标准等内容，并向本单位全体从业人员公示。在管理架构、岗位设置等发生变动时，应当及时对安全生产责任制内容进行调整。</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生产经营单位应当建立完善本单位全员安全生产责任制考核、奖惩相关制度</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eastAsia="仿宋_GB2312" w:cs="Times New Roman"/>
          <w:sz w:val="32"/>
          <w:szCs w:val="32"/>
        </w:rPr>
        <w:t>，每年至少对安全生产责任制落实情况考核一次。</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鼓励生产经营单位根据需要设立安全生产岗位津贴、安全风险奖励。</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第十八条【安全投入】</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的决策机构、主要负责人或者个人经营的投资人应当保证安全生产条件所必需的资金投入，将安全生产资金纳入年度生产经营计划和财务预算，并对由于安全生产所必需的资金投入不足导致的后果承担责任。</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生产资金应当用于安全生产的技术项目、设施和设备，宣传、教育培训和奖励，劳动防护用品，安全生产的新技术、新工艺、新材料，重大危险源的监控和管理，应急救援器材、物资的储备，安全生产责任保险以及其他安全生产方面。</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第十九条【保险】</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生产经营单位必须依法参加工伤保险，为从业人员缴纳保险费。</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鼓励生产经营单位投保安全生产责任保险。</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属于国家规定的高危行业、领域的生产经营单位应当投保安全生产责任保险。</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第二十条【安全机构设置】</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矿山，金属冶炼，建筑施工，运输单位，危险物品的生产、经营、储存、装卸单位，应当设置安全生产管理机构或者配备专职安全生产管理人员，上述行业、领域对于安全生产管理机构和人员没有明确规定的，按照下列规定设置、配备：</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（一）从业人员不足三十人的，应当配备一名专职安全生产管理人员；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（二）从业人员三十人以上不足一百人的，应当设置安全生产管理机构，配备二名以上专职安全生产管理人员；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（三）从业人员一百人以上不足一千人的，应当设置安全生产管理机构，配备四名以上专职安全生产管理人员；</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（四）从业人员一千人以上的，应当设置安全生产管理机构，并按不低于从业人员千分之五的比例配备专职安全生产管理人员。</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前款规定以外的其他生产经营单位，从业人员一百人</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的，应当设置安全生产管理机构或者配备二名以上专职安全生产管理人员。从业人员不足一百人的，应当配备专职或者兼职的安全生产管理人员。</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第二十一条【安全生产管理机构安全职责】</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生产经营单位的安全生产管理机构和安全生产管理人员应当履行法律、法规、规章规定的安全生产职责，并督促其他机构和人员落实安全生产职责，定期将本单位安全生产情况报告主要负责人。</w:t>
      </w:r>
    </w:p>
    <w:p>
      <w:pPr>
        <w:pStyle w:val="9"/>
        <w:spacing w:line="590" w:lineRule="exact"/>
        <w:ind w:firstLine="622" w:firstLineChars="200"/>
        <w:rPr>
          <w:rFonts w:hint="default" w:ascii="Times New Roman" w:hAnsi="Times New Roman" w:eastAsia="仿宋_GB2312" w:cs="Times New Roman"/>
          <w:sz w:val="32"/>
          <w:szCs w:val="32"/>
        </w:rPr>
      </w:pPr>
      <w:bookmarkStart w:id="2" w:name="No77_Z2T15K2"/>
      <w:bookmarkEnd w:id="2"/>
      <w:r>
        <w:rPr>
          <w:rFonts w:hint="default" w:ascii="Times New Roman" w:hAnsi="Times New Roman" w:eastAsia="仿宋_GB2312" w:cs="Times New Roman"/>
          <w:sz w:val="32"/>
          <w:szCs w:val="32"/>
        </w:rPr>
        <w:t>生产经营单位作出安全生产布局调整、重大设施设备工艺流程变更、生产经营项目场所设备的发包或者出租等涉及安全生产的经营决策，应当听取安全生产管理机构和安全生产管理人员的意见，并如实记录意见听取情况。</w:t>
      </w:r>
    </w:p>
    <w:p>
      <w:pPr>
        <w:pStyle w:val="9"/>
        <w:spacing w:line="590" w:lineRule="exact"/>
        <w:rPr>
          <w:rFonts w:hint="default" w:ascii="Times New Roman" w:hAnsi="Times New Roman" w:eastAsia="仿宋_GB2312" w:cs="Times New Roman"/>
          <w:sz w:val="32"/>
          <w:szCs w:val="32"/>
        </w:rPr>
      </w:pPr>
      <w:bookmarkStart w:id="3" w:name="No80_Z2T15K2X3"/>
      <w:bookmarkEnd w:id="3"/>
      <w:bookmarkStart w:id="4" w:name="No81_Z2T15K2X4"/>
      <w:bookmarkEnd w:id="4"/>
      <w:bookmarkStart w:id="5" w:name="No79_Z2T15K2X2"/>
      <w:bookmarkEnd w:id="5"/>
      <w:bookmarkStart w:id="6" w:name="No83_Z2T15K2X6"/>
      <w:bookmarkEnd w:id="6"/>
      <w:bookmarkStart w:id="7" w:name="No82_Z2T15K2X5"/>
      <w:bookmarkEnd w:id="7"/>
      <w:bookmarkStart w:id="8" w:name="No78_Z2T15K2X1"/>
      <w:bookmarkEnd w:id="8"/>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第二十二条【教育培训】</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 xml:space="preserve">生产经营单位应当按照下列规定进行安全生产教育和培训，并记入培训档案。未经安全生产教育和培训合格的从业人员，不得上岗作业：　　 </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（一）每年至少进行一次全员安全生产教育；</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（二）对新录用人员、实习人员进行厂、车间、班组三级教育培训；</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（三）对采用新工艺、新技术、新材料或者使用新设备的人员进行专门教育培训；</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（四）对调岗或离岗六个月以上人员进行车间、班组两级教育培训，对临时转岗、换岗人员进行新岗位教育培训；</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（五）连续生产的大型设备停车检修或者恢复试车前，应当对全体参与此项工作的从业人员进行安全教育培训；</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（六）按规定对安全生产管理人员进行定期培训。</w:t>
      </w:r>
    </w:p>
    <w:p>
      <w:pPr>
        <w:pStyle w:val="9"/>
        <w:spacing w:line="590" w:lineRule="exact"/>
        <w:ind w:firstLine="622" w:firstLineChars="200"/>
        <w:rPr>
          <w:rFonts w:hint="default" w:ascii="Times New Roman" w:hAnsi="Times New Roman" w:eastAsia="仿宋_GB2312" w:cs="Times New Roman"/>
          <w:color w:val="000000"/>
        </w:rPr>
      </w:pPr>
      <w:r>
        <w:rPr>
          <w:rFonts w:hint="default" w:ascii="Times New Roman" w:hAnsi="Times New Roman" w:eastAsia="仿宋_GB2312" w:cs="Times New Roman"/>
          <w:sz w:val="32"/>
          <w:szCs w:val="32"/>
        </w:rPr>
        <w:t>生产经营单位安排从业人员进行安全培训的时间，应当计入劳动时间，支付工资和必要的费用。</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第二十三条【班前会、班后会制度】</w:t>
      </w:r>
      <w:bookmarkStart w:id="9" w:name="_Hlk163829306"/>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矿山、金属冶炼、建筑施工和危险物品的生产、经营、储存、装卸单位，以及涉爆粉尘、涉氨制冷等行业、领域生产经营单位，应当建立并实施安全生产班前会、班后会制度，</w:t>
      </w:r>
      <w:bookmarkEnd w:id="9"/>
      <w:r>
        <w:rPr>
          <w:rFonts w:hint="default" w:ascii="Times New Roman" w:hAnsi="Times New Roman" w:eastAsia="仿宋_GB2312" w:cs="Times New Roman"/>
          <w:sz w:val="32"/>
          <w:szCs w:val="32"/>
        </w:rPr>
        <w:t>向当班作业人员提示安全风险、讲解岗位安全操作要点，对作业安全管理点评分析，保障当班作业人员熟知本人工作职责、工作内容，提升风险防范、应急逃生的能力。</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鼓励其他生产经营单位建立并实施安全生产班前会、班后会制度。</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第二十四条【标准化建设】</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按照国家和本市有关规定，加强安全生产标准化建设，建立健全安全生产管理体系，全面管控生产经营活动各环节的安全风险，促进安全管理系统化、岗位操作行为规范化、设施设备安全化，提高安全生产管理水平。</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负有安全生产监督管理职责的部门应当推动本行业、领域安全生产标准化建设工作，鼓励生产经营单位开展安全生产标准化达标工作，</w:t>
      </w:r>
      <w:bookmarkStart w:id="10" w:name="_Hlk161932334"/>
      <w:r>
        <w:rPr>
          <w:rFonts w:hint="default" w:ascii="Times New Roman" w:hAnsi="Times New Roman" w:eastAsia="仿宋_GB2312" w:cs="Times New Roman"/>
          <w:sz w:val="32"/>
          <w:szCs w:val="32"/>
        </w:rPr>
        <w:t>将安全生产标准化达标结果向</w:t>
      </w:r>
      <w:bookmarkStart w:id="11" w:name="_Hlk161932140"/>
      <w:r>
        <w:rPr>
          <w:rFonts w:hint="default" w:ascii="Times New Roman" w:hAnsi="Times New Roman" w:eastAsia="仿宋_GB2312" w:cs="Times New Roman"/>
          <w:sz w:val="32"/>
          <w:szCs w:val="32"/>
        </w:rPr>
        <w:t>有关</w:t>
      </w:r>
      <w:bookmarkEnd w:id="11"/>
      <w:r>
        <w:rPr>
          <w:rFonts w:hint="default" w:ascii="Times New Roman" w:hAnsi="Times New Roman" w:eastAsia="仿宋_GB2312" w:cs="Times New Roman"/>
          <w:sz w:val="32"/>
          <w:szCs w:val="32"/>
        </w:rPr>
        <w:t>部门通报</w:t>
      </w:r>
      <w:bookmarkStart w:id="12" w:name="_Hlk163829401"/>
      <w:r>
        <w:rPr>
          <w:rFonts w:hint="default" w:ascii="Times New Roman" w:hAnsi="Times New Roman" w:eastAsia="仿宋_GB2312" w:cs="Times New Roman"/>
          <w:sz w:val="32"/>
          <w:szCs w:val="32"/>
        </w:rPr>
        <w:t>并向社会公开</w:t>
      </w:r>
      <w:bookmarkEnd w:id="12"/>
      <w:r>
        <w:rPr>
          <w:rFonts w:hint="default" w:ascii="Times New Roman" w:hAnsi="Times New Roman" w:eastAsia="仿宋_GB2312" w:cs="Times New Roman"/>
          <w:sz w:val="32"/>
          <w:szCs w:val="32"/>
        </w:rPr>
        <w:t>，作为生产经营单位信用评级、投融资、安全生产责任保险费率调整等的参考。</w:t>
      </w:r>
      <w:bookmarkEnd w:id="10"/>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第二十五条【信息化建设】</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加强安全生产信息化建设，推动人员、装备、物资等安全生产要素的网络化连接、敏捷化响应和自动化调配，实现关键设备全生命周期、生产工艺全流程的数字化、可视化、透明化，提升企业安全生产管理能力，实现安全生产的可预测、可管控。</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危险物品的生产、储存单位</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矿山、金属冶炼、建筑施工、运输</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行业、领域生产经营单位应当运用数字化技术开展安全风险管控、事故隐患排查治理、重大危险源监测监控等工作，按照规定通过相关信息系统向负有安全生产监督管理职责的部门准确、完整地报送安全生产数据</w:t>
      </w:r>
      <w:r>
        <w:rPr>
          <w:rFonts w:hint="default" w:ascii="Times New Roman" w:hAnsi="Times New Roman" w:eastAsia="仿宋_GB2312" w:cs="Times New Roman"/>
          <w:sz w:val="32"/>
          <w:szCs w:val="32"/>
          <w:lang w:eastAsia="zh-CN"/>
        </w:rPr>
        <w:t>。</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第二十六条【重大危险源】</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生产经营单位应当对重大危险源采取下列措施：</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（一）建立并落实重大危险源管理制度，建立重大危险源管理档案；</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（二）对运行情况进行全程动态监测监控，及时消除隐患；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（三）对安全设施、设备进行定期检测；</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（四）按照国家有关规定进行安全评估；</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（五）配备应急救援器材、设备、物资，制定重大危险源应急预案并定期组织演练；</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生产经营单位应当按照国家规定将本单位重大危险源及相应的安全措施、应急措施的实施情况报应急管理部门和有关部门备案；重大危险源发生变化时应当立即报告。</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第二十七条【风险管控】</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建立健全并落实安全风险分级管控制度，全方位、全过程辨识安全风险，按照国家相关标准规范确定安全风险类别和等级，建立重大安全风险清单，采取措施对辨识出的安全风险进行有效管控，并实施动态评估，及时调整风险等级和管控措施，落实安全风险公告规定，对从业人员进行风险教育和技能培训。</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第二十八条【隐患排查】</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生产经营单位应当按照法律、法规、规章的要求，建立健全并落实事故隐患排查治理制度，结合生产经营特点，对事故隐患的排查、登记、报告、监控、治理、验收和资金保障等事项作出具体规定。</w:t>
      </w:r>
    </w:p>
    <w:p>
      <w:pPr>
        <w:pStyle w:val="9"/>
        <w:spacing w:line="590" w:lineRule="exact"/>
        <w:ind w:firstLine="622" w:firstLineChars="200"/>
        <w:rPr>
          <w:rFonts w:hint="default" w:ascii="Times New Roman" w:hAnsi="Times New Roman" w:eastAsia="仿宋_GB2312" w:cs="Times New Roman"/>
        </w:rPr>
      </w:pPr>
      <w:r>
        <w:rPr>
          <w:rFonts w:hint="default" w:ascii="Times New Roman" w:hAnsi="Times New Roman" w:eastAsia="仿宋_GB2312" w:cs="Times New Roman"/>
          <w:sz w:val="32"/>
          <w:szCs w:val="32"/>
        </w:rPr>
        <w:t>生产经营单位应当建立事故隐患报告和举报奖励制度，对发现、排除、举报事故隐患的从业人员给予奖励。</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第二十九条【危险作业】</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 xml:space="preserve">生产经营单位进行爆破、动火、吊装、建筑物拆除、高处作业、土方开挖、管线疏浚、有限空间作业、临时用电以及国家规定的其他危险作业，应当遵守下列规定：  </w:t>
      </w:r>
    </w:p>
    <w:p>
      <w:pPr>
        <w:pStyle w:val="9"/>
        <w:spacing w:line="590" w:lineRule="exact"/>
        <w:ind w:firstLine="402" w:firstLineChars="200"/>
        <w:rPr>
          <w:rFonts w:hint="default" w:ascii="Times New Roman" w:hAnsi="Times New Roman" w:eastAsia="仿宋_GB2312" w:cs="Times New Roman"/>
          <w:sz w:val="32"/>
          <w:szCs w:val="32"/>
        </w:rPr>
      </w:pP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eastAsia="仿宋_GB2312" w:cs="Times New Roman"/>
          <w:sz w:val="32"/>
          <w:szCs w:val="32"/>
        </w:rPr>
        <w:t>（一）实行危险作业企业内部审批制度，确认现场作业条件、作业人员的上岗资格及配备的劳动防护用品符合安全作业要求；</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（二）配备相应的安全设施，采取安全防范措施，确定专人现场统一指挥和监督；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（三）进行危害风险评估，制定控制措施、作业方案、安全操作规程；</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（四）制定危险作业现场处置方案，发现直接危及人身安全的紧急情况时，采取应急措施；</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（五）向作业人员详细说明作业内容、主要危险因素、作业安全要求和应急措施等内容；</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（六）法律、法规或者国家、本市和相关行业对危险作业的其他规定。</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生产经营单位委托其他有专业资质的单位进行前款规定的危险作业的，应当在作业前与受委托方签订安全生产管理协议，明确各自的安全生产职责。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第三十条【相关方管理</w:t>
      </w:r>
      <w:bookmarkStart w:id="13" w:name="_Hlk145939257"/>
      <w:r>
        <w:rPr>
          <w:rFonts w:hint="default" w:ascii="Times New Roman" w:hAnsi="Times New Roman" w:eastAsia="方正黑体_GBK" w:cs="Times New Roman"/>
          <w:sz w:val="32"/>
          <w:szCs w:val="32"/>
        </w:rPr>
        <w:t>】</w:t>
      </w:r>
      <w:bookmarkEnd w:id="13"/>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生产经营单位不得将生产经营项目、场所、设备发包或者出租给不具备安全生产条件或者相应资质的单位或者个人。</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生产经营单位将本单位生产经营项目、场所发包或者出租给其他单位或者个人的，发包单位应当对承包、承租单位的安全生产工作统一协调管理，并遵守下列规定：</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（一）对承包、承租单位安全生产条件、资质和有关人员的从业资格进行审核；</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（二）与承包、承租单位签订专门的安全生产管理协议，或者在承包合同、租赁合同中约定各自的安全生产管理区域、管理责任、应急救援责任等；</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（三）向承包、承租单位进行外包项目的安全技术交底，明示作业过程中可能存在的风险，需要采取的安全措施；</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（四）对承包、承租单位定期进行安全生产检查并如实记录，发现问题，督促整改。</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承包单位需在本单位连续作业六个月以上的，生产经营单位除了应遵守上述规定外，还应将其作业人员纳入本单位安全生产教育培训统一管理，将外包项目现场处置方案纳入本单位应急预案体系，定期组织演练。</w:t>
      </w:r>
    </w:p>
    <w:p>
      <w:pPr>
        <w:pStyle w:val="9"/>
        <w:spacing w:line="590" w:lineRule="exact"/>
        <w:rPr>
          <w:rFonts w:hint="default" w:ascii="Times New Roman" w:hAnsi="Times New Roman" w:eastAsia="仿宋_GB2312"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eastAsia="仿宋_GB2312" w:cs="Times New Roman"/>
          <w:sz w:val="32"/>
          <w:szCs w:val="32"/>
        </w:rPr>
        <w:t>对于需要进入生产经营单位提供配送、安装等服务的相关方，生产经营单位应当告知其场所、设备的安全生产基本情况，对现场危险源、逃生路线等注意事项作必要的培训或者提示。</w:t>
      </w:r>
    </w:p>
    <w:p>
      <w:pPr>
        <w:adjustRightInd w:val="0"/>
        <w:snapToGrid w:val="0"/>
        <w:spacing w:line="360" w:lineRule="auto"/>
        <w:jc w:val="center"/>
        <w:rPr>
          <w:rFonts w:hint="default" w:ascii="Times New Roman" w:hAnsi="Times New Roman" w:eastAsia="黑体" w:cs="Times New Roman"/>
          <w:color w:val="000000"/>
        </w:rPr>
      </w:pPr>
    </w:p>
    <w:p>
      <w:pPr>
        <w:adjustRightInd w:val="0"/>
        <w:snapToGrid w:val="0"/>
        <w:spacing w:line="360" w:lineRule="auto"/>
        <w:jc w:val="center"/>
        <w:rPr>
          <w:rFonts w:hint="default" w:ascii="Times New Roman" w:hAnsi="Times New Roman" w:eastAsia="黑体" w:cs="Times New Roman"/>
          <w:color w:val="000000"/>
          <w:sz w:val="32"/>
          <w:szCs w:val="32"/>
        </w:rPr>
      </w:pPr>
    </w:p>
    <w:p>
      <w:pPr>
        <w:numPr>
          <w:ilvl w:val="0"/>
          <w:numId w:val="1"/>
        </w:numPr>
        <w:adjustRightInd w:val="0"/>
        <w:snapToGrid w:val="0"/>
        <w:spacing w:line="360" w:lineRule="auto"/>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特别规定</w:t>
      </w:r>
    </w:p>
    <w:p>
      <w:pPr>
        <w:pStyle w:val="12"/>
        <w:numPr>
          <w:ilvl w:val="0"/>
          <w:numId w:val="0"/>
        </w:numPr>
        <w:rPr>
          <w:rFonts w:hint="default" w:ascii="Times New Roman" w:hAnsi="Times New Roman" w:cs="Times New Roman"/>
        </w:rPr>
      </w:pP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第三十一条【注册与经营一致】</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从事危险化学品生产、储存、经营的生产经营单位以及使用危险化学品从事生产并且使用量达到规定数量的化工企业，实际生产经营地应当与登记注册地保持一致。</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第三十二条【园区安全】</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对危险化学品生产、储存项目相对集中的化工园区或者工业园区内的化工集中区，园区管理机构应当每三年开展一次整体性安全评价，科学评估区域安全风险，提出消除、降低或者控制安全风险的措施。</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第三十三条【运输安全】</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根据危险化学品运输安全的特殊需要，公安交通管理部门在具备条件的区域划设危险化学品运输专用车道。</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危险化学品专用车辆应当在划设的危险化学品运输专用车道内通行。</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第三十四条【地下</w:t>
      </w:r>
      <w:r>
        <w:rPr>
          <w:rFonts w:hint="default" w:ascii="Times New Roman" w:hAnsi="Times New Roman" w:eastAsia="方正黑体_GBK" w:cs="Times New Roman"/>
          <w:sz w:val="32"/>
          <w:szCs w:val="32"/>
          <w:lang w:eastAsia="zh-CN"/>
        </w:rPr>
        <w:t>施工安全</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在地下施工作业开工前，应当收集施工及其受影响范围内地下管线信息和分布资料，组织相关单位进行地下管线情况研判并制定专项保护方案，督促施工单位、监理单位等落实地下管线专项保护方案要求。</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施工涉及到的地下管线产权单位应当配合提供地下管线资料，设置安全警示标志，加强现场巡查监护，发现有可能危及地下管线安全的行为，及时劝阻和制止；不听劝阻，强行施工的，立即报告相关主管部门。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第三十五条【</w:t>
      </w:r>
      <w:r>
        <w:rPr>
          <w:rFonts w:hint="default" w:ascii="Times New Roman" w:hAnsi="Times New Roman" w:eastAsia="方正黑体_GBK" w:cs="Times New Roman"/>
          <w:sz w:val="32"/>
          <w:szCs w:val="32"/>
          <w:lang w:eastAsia="zh-CN"/>
        </w:rPr>
        <w:t>物业</w:t>
      </w:r>
      <w:r>
        <w:rPr>
          <w:rFonts w:hint="default" w:ascii="Times New Roman" w:hAnsi="Times New Roman" w:eastAsia="方正黑体_GBK" w:cs="Times New Roman"/>
          <w:sz w:val="32"/>
          <w:szCs w:val="32"/>
        </w:rPr>
        <w:t>安全】</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物业服务企业应当对其服务区域的疏散通道、地下车库、化粪池、窨井、电梯等重点部位进行经常性巡查。发现安全隐患的，应当立即处理；无法处理的，应当及时告知相关专业部门，并发出警示，同时报告所在地街道办事处、乡镇人民政府或者负有安全生产监督管理职责的部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同一建筑物内的多个生产经营单位共同委托物业服务企业或者其他管理人进行管理的，由物业服务企业或者其他管理人依照委托协议履行其管理范围内的安全生产管理职责。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第三十六条【旅游安全】</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旅游景区（点）管理机构和经营者应当加强旅游安全管理，制定突发事件应急救援预案，配置旅游安全防护设施，并对游客流量、流向作出预测预报，及时采取控制和疏导措施。</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空、高速、水上水下、探险等高风险项目应当符合国家标准或者行业标准，经营单位应当制定安全操作规程，每日投入运营前对涉及人身安全的设施、设备进行试运行和例行安全检查，并对安全附件和安全保护装置进行检查确认，保障</w:t>
      </w:r>
      <w:r>
        <w:rPr>
          <w:rFonts w:hint="default" w:ascii="Times New Roman" w:hAnsi="Times New Roman" w:eastAsia="仿宋_GB2312" w:cs="Times New Roman"/>
          <w:sz w:val="32"/>
          <w:szCs w:val="32"/>
          <w:lang w:eastAsia="zh-CN"/>
        </w:rPr>
        <w:t>游客</w:t>
      </w:r>
      <w:r>
        <w:rPr>
          <w:rFonts w:hint="default" w:ascii="Times New Roman" w:hAnsi="Times New Roman" w:eastAsia="仿宋_GB2312" w:cs="Times New Roman"/>
          <w:sz w:val="32"/>
          <w:szCs w:val="32"/>
        </w:rPr>
        <w:t>人身、财产安全。</w:t>
      </w:r>
    </w:p>
    <w:p>
      <w:pPr>
        <w:pStyle w:val="9"/>
        <w:spacing w:line="590" w:lineRule="exact"/>
        <w:ind w:firstLine="622" w:firstLineChars="200"/>
        <w:rPr>
          <w:rFonts w:hint="default" w:ascii="Times New Roman" w:hAnsi="Times New Roman" w:eastAsia="仿宋_GB2312" w:cs="Times New Roman"/>
          <w:sz w:val="32"/>
          <w:szCs w:val="32"/>
        </w:rPr>
      </w:pPr>
      <w:bookmarkStart w:id="14" w:name="_Hlk161995304"/>
      <w:r>
        <w:rPr>
          <w:rFonts w:hint="default" w:ascii="Times New Roman" w:hAnsi="Times New Roman" w:eastAsia="方正黑体_GBK" w:cs="Times New Roman"/>
          <w:sz w:val="32"/>
          <w:szCs w:val="32"/>
        </w:rPr>
        <w:t>第三十七条【大型活动</w:t>
      </w:r>
      <w:r>
        <w:rPr>
          <w:rFonts w:hint="default" w:ascii="Times New Roman" w:hAnsi="Times New Roman" w:eastAsia="方正黑体_GBK" w:cs="Times New Roman"/>
          <w:sz w:val="32"/>
          <w:szCs w:val="32"/>
          <w:lang w:eastAsia="zh-CN"/>
        </w:rPr>
        <w:t>安全</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生产经营单位承办大型群众性活动的，应当制定符合规定要求的安全工作方案和应急</w:t>
      </w:r>
      <w:r>
        <w:rPr>
          <w:rFonts w:hint="default" w:ascii="Times New Roman" w:hAnsi="Times New Roman" w:eastAsia="仿宋_GB2312" w:cs="Times New Roman"/>
          <w:sz w:val="32"/>
          <w:szCs w:val="32"/>
          <w:lang w:eastAsia="zh-CN"/>
        </w:rPr>
        <w:t>救援</w:t>
      </w:r>
      <w:r>
        <w:rPr>
          <w:rFonts w:hint="default" w:ascii="Times New Roman" w:hAnsi="Times New Roman" w:eastAsia="仿宋_GB2312" w:cs="Times New Roman"/>
          <w:sz w:val="32"/>
          <w:szCs w:val="32"/>
        </w:rPr>
        <w:t>预案；搭建的构筑物应当符合安全标准要求，并委托评估机构进行安全风险评估。</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活动举办期间，承办单位应当落实各项安全措施，保证活动场所的设备、设施安全运行，配备足够的工作人员维持现场秩序。人员聚集时，承办单位应当采取控制和疏散措施，确保参加活动的人数符合安全要求。</w:t>
      </w:r>
    </w:p>
    <w:bookmarkEnd w:id="14"/>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第三十八条【易燃易爆作业</w:t>
      </w:r>
      <w:r>
        <w:rPr>
          <w:rFonts w:hint="default" w:ascii="Times New Roman" w:hAnsi="Times New Roman" w:eastAsia="方正黑体_GBK" w:cs="Times New Roman"/>
          <w:sz w:val="32"/>
          <w:szCs w:val="32"/>
          <w:lang w:eastAsia="zh-CN"/>
        </w:rPr>
        <w:t>安全</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按照规定在易燃易爆作业场所安装符合国家标准、行业标准的通风系统和超限报警、防爆泄压、保险控制以及防雷、防潮、防静电等安全装置设备，配备符合国家标准、行业标准的防爆型电气设备，并保障设备设施正常使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生产经营单位以燃气作燃料的，应当定期检查和维护燃气管道、存储罐体、可燃气体报警装置、自闭阀、连接管、燃气器具等，确保其正常使用。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第三十九条【餐饮</w:t>
      </w:r>
      <w:r>
        <w:rPr>
          <w:rFonts w:hint="default" w:ascii="Times New Roman" w:hAnsi="Times New Roman" w:eastAsia="方正黑体_GBK" w:cs="Times New Roman"/>
          <w:sz w:val="32"/>
          <w:szCs w:val="32"/>
          <w:lang w:eastAsia="zh-CN"/>
        </w:rPr>
        <w:t>安全</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使用燃气的餐饮等行业生产经营单位，以及有使用燃气餐饮场所的其他单位，应当安装可燃气体报警装置，并保障其正常使用。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餐饮服务经营者、单位食堂使用五十公斤以上的罐装液化石油气作为烹饪热源；使用两个以上不足五十公斤罐装液化石油气的，应当分散使用，并采取安全防护措施。禁止生产经营单位向餐饮服务经营者、单位食堂供应五十公斤以上的罐装液化石油气。</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第四十条【有限空间作业</w:t>
      </w:r>
      <w:r>
        <w:rPr>
          <w:rFonts w:hint="default" w:ascii="Times New Roman" w:hAnsi="Times New Roman" w:eastAsia="方正黑体_GBK" w:cs="Times New Roman"/>
          <w:sz w:val="32"/>
          <w:szCs w:val="32"/>
          <w:lang w:eastAsia="zh-CN"/>
        </w:rPr>
        <w:t>安全</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实施有限空间作业的，现场应当有监护人员，严格遵守“先通风、再检测、后作业”要求，作业前由监护人员对通风、检测等风险管控措施逐项进行确认，对作业人员进行安全技术交底，确保作业人员正确使用防护用品，现场配备必要的应急救援装备。</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业过程中，监护人员应当全程进行监护，持续检测气体浓度并进行机械通风，与作业人员保持实时联络，不得离开作业现场或者进入有限空间参与作业。当发生异常情况时，监护人员应当立即组织作业人员撤离现场。发生有限空间作业事故后，应当立即按照现场处置方案进行应急处置，组织科学施救。</w:t>
      </w:r>
    </w:p>
    <w:p>
      <w:pPr>
        <w:adjustRightInd w:val="0"/>
        <w:snapToGrid w:val="0"/>
        <w:spacing w:line="360" w:lineRule="auto"/>
        <w:jc w:val="center"/>
        <w:rPr>
          <w:rFonts w:hint="default" w:ascii="Times New Roman" w:hAnsi="Times New Roman" w:eastAsia="黑体" w:cs="Times New Roman"/>
          <w:color w:val="000000"/>
        </w:rPr>
      </w:pPr>
    </w:p>
    <w:p>
      <w:pPr>
        <w:adjustRightInd w:val="0"/>
        <w:snapToGrid w:val="0"/>
        <w:spacing w:line="360" w:lineRule="auto"/>
        <w:jc w:val="center"/>
        <w:rPr>
          <w:rFonts w:hint="default" w:ascii="Times New Roman" w:hAnsi="Times New Roman" w:eastAsia="黑体" w:cs="Times New Roman"/>
          <w:color w:val="000000"/>
          <w:sz w:val="32"/>
          <w:szCs w:val="32"/>
        </w:rPr>
      </w:pPr>
    </w:p>
    <w:p>
      <w:pPr>
        <w:numPr>
          <w:ilvl w:val="0"/>
          <w:numId w:val="2"/>
        </w:numPr>
        <w:adjustRightInd w:val="0"/>
        <w:snapToGrid w:val="0"/>
        <w:spacing w:line="360" w:lineRule="auto"/>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安全生产监督管理</w:t>
      </w:r>
    </w:p>
    <w:p>
      <w:pPr>
        <w:pStyle w:val="12"/>
        <w:numPr>
          <w:ilvl w:val="0"/>
          <w:numId w:val="0"/>
        </w:numPr>
        <w:rPr>
          <w:rFonts w:hint="default" w:ascii="Times New Roman" w:hAnsi="Times New Roman" w:cs="Times New Roman"/>
          <w:sz w:val="32"/>
          <w:szCs w:val="32"/>
        </w:rPr>
      </w:pP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第四十一条【综合监管职责】</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市和区应急管理部门依法对本行政区域内的安全生产工作履行下列综合监督管理职责：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（一）拟定安全生产规划、政策和标准，分析预测本行政区域内的安全生产形势，发布安全生产信息；</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（二）指导协调、监督检查同级人民政府有关部门和下级人民政府安全生产工作；</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（三）对同级人民政府有关部门和下级人民政府落实安全生产监督管理责任制情况实施监督检查；</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（四）负责组织本行政区域内安全生产集中检查和专项督查；</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（五）组织指挥和协调安全生产相关应急救援工作，依法组织生产安全事故调查处理工作，监督事故查处和责任追究情况；</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（六）负责生产安全事故的综合统计分析工作；</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（七）安全生产法律、法规、规章规定的其他职责。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第四十二条【监督管理职责】</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负有安全生产监督管理职责的部门应当加强安全生产监管力量建设，并履行下列职责：</w:t>
      </w:r>
    </w:p>
    <w:p>
      <w:pPr>
        <w:pStyle w:val="9"/>
        <w:numPr>
          <w:ilvl w:val="0"/>
          <w:numId w:val="3"/>
        </w:numPr>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法律、法规规定涉及安全生产的事项需要审查批准（包括批准、核准、许可、注册、认证、颁发证照等）或者验收的，严格依照有关法律、法规和国家标准或行业标准规定的安全生产条件和程序进行审查；</w:t>
      </w:r>
    </w:p>
    <w:p>
      <w:pPr>
        <w:pStyle w:val="9"/>
        <w:numPr>
          <w:ilvl w:val="0"/>
          <w:numId w:val="0"/>
        </w:numPr>
        <w:spacing w:line="590" w:lineRule="exact"/>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（二）</w:t>
      </w:r>
      <w:r>
        <w:rPr>
          <w:rFonts w:hint="default" w:ascii="Times New Roman" w:hAnsi="Times New Roman" w:eastAsia="仿宋_GB2312" w:cs="Times New Roman"/>
          <w:sz w:val="32"/>
          <w:szCs w:val="32"/>
        </w:rPr>
        <w:t>在各自职权范围内依法对生产经营单位进行监督检查，发现安全生产违法行为，给予行政处罚；</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numPr>
          <w:ilvl w:val="0"/>
          <w:numId w:val="0"/>
        </w:numPr>
        <w:spacing w:line="59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（三）</w:t>
      </w:r>
      <w:r>
        <w:rPr>
          <w:rFonts w:hint="default" w:ascii="Times New Roman" w:hAnsi="Times New Roman" w:eastAsia="仿宋_GB2312" w:cs="Times New Roman"/>
          <w:sz w:val="32"/>
          <w:szCs w:val="32"/>
        </w:rPr>
        <w:t>建立落实安全风险分级管控和隐患排查治理双重预防机制，督促本行业领域生产经营单位对各类安全隐患及时采取有效措施进行整治；</w:t>
      </w:r>
    </w:p>
    <w:p>
      <w:pPr>
        <w:pStyle w:val="9"/>
        <w:numPr>
          <w:ilvl w:val="0"/>
          <w:numId w:val="0"/>
        </w:numPr>
        <w:spacing w:line="59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（四）</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"javascript:void(0);"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指导、督促本行业、本领域有关单位制定应急救援预案，组织本行业、本领域安全生产应急处置和救援，组织、参与或配合做好事故调查处理工作；</w:t>
      </w:r>
    </w:p>
    <w:p>
      <w:pPr>
        <w:pStyle w:val="9"/>
        <w:numPr>
          <w:ilvl w:val="0"/>
          <w:numId w:val="0"/>
        </w:numPr>
        <w:spacing w:line="59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（五）开展安全生产宣传工作，依法组织和监督生产经营单位开展安全生产教育培训，提高从业人员的安全素质；组织推动企业开展安全文化建设；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"javascript:void(0);"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end"/>
      </w:r>
    </w:p>
    <w:p>
      <w:pPr>
        <w:pStyle w:val="9"/>
        <w:numPr>
          <w:ilvl w:val="0"/>
          <w:numId w:val="0"/>
        </w:numPr>
        <w:spacing w:line="59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（六）法律、法规、规章规定的其他职责。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第四十三条【基层检查权】</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乡镇人民政府、街道办事处，以及开发区、工业园区、港区、风景区等负责安全生产监督管理的有关工作机构，依法对本行政区域或者管理区域内的生产经营单位进行监督检查，发现安全生产违法行为或者生产安全事故隐患的，应当责令改正或限期改正。对依法应当给予行政处罚的行为，在授权或者委托范围内的，自行立案处理；无权处罚的，及时向负有安全生产监督管理职责的部门报告。</w:t>
      </w:r>
    </w:p>
    <w:p>
      <w:pPr>
        <w:pStyle w:val="9"/>
        <w:spacing w:line="590" w:lineRule="exact"/>
        <w:ind w:firstLine="622" w:firstLineChars="200"/>
        <w:rPr>
          <w:rFonts w:hint="default" w:ascii="Times New Roman" w:hAnsi="Times New Roman" w:eastAsia="仿宋_GB2312" w:cs="Times New Roman"/>
          <w:sz w:val="32"/>
          <w:szCs w:val="32"/>
        </w:rPr>
      </w:pPr>
      <w:bookmarkStart w:id="15" w:name="_Hlk162252653"/>
      <w:r>
        <w:rPr>
          <w:rFonts w:hint="default" w:ascii="Times New Roman" w:hAnsi="Times New Roman" w:eastAsia="方正黑体_GBK" w:cs="Times New Roman"/>
          <w:sz w:val="32"/>
          <w:szCs w:val="32"/>
        </w:rPr>
        <w:t>第四十四条【执法能力建设】</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负有安全生产监督管理职责的部门应当完善安全生产执法体系，配备与其监督管理工作相适应的执法人员和装备，可以邀请或聘用专业技术人员为安全生产检查、隐患排查、重大隐患整改验收、应急救援、事故调查等活动提供决策咨询和技术支撑。</w:t>
      </w:r>
    </w:p>
    <w:bookmarkEnd w:id="15"/>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第四十五条【安全风险防控】</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市和区人民政府应当组织有关部门逐步建立健全本行政区域重点行业、领域安全风险防控体系。</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市和区负有安全生产监督管理职责的部门</w:t>
      </w:r>
      <w:bookmarkStart w:id="16" w:name="_Hlk162253895"/>
      <w:r>
        <w:rPr>
          <w:rFonts w:hint="default" w:ascii="Times New Roman" w:hAnsi="Times New Roman" w:eastAsia="仿宋_GB2312" w:cs="Times New Roman"/>
          <w:sz w:val="32"/>
          <w:szCs w:val="32"/>
        </w:rPr>
        <w:t>实施本行业、领域安全风险管控工作，对本行业、领域的安全风险信息进行汇总、分析，</w:t>
      </w:r>
      <w:bookmarkEnd w:id="16"/>
      <w:r>
        <w:rPr>
          <w:rFonts w:hint="default" w:ascii="Times New Roman" w:hAnsi="Times New Roman" w:eastAsia="仿宋_GB2312" w:cs="Times New Roman"/>
          <w:sz w:val="32"/>
          <w:szCs w:val="32"/>
        </w:rPr>
        <w:t xml:space="preserve">及时发布预警提示信息，完善风险防控信息交流和成果运用，强化综合管控和源头治理。 </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负有安全生产监督管理职责的部门实施安全风险管控工作，生产经营单位仍应承担安全风险辨识管控的主体责任。</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第四十六条【重大事故隐患督办】</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负有安全生产监督管理职责的部门应当将重大事故隐患纳入相关信息系统，建立并落实重大事故隐患治理督办制度，对重大事故隐患进行督办，指导监督生产经营单位制定落实整改方案，督促生产经营单位消除重大事故隐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keepNext w:val="0"/>
        <w:keepLines w:val="0"/>
        <w:pageBreakBefore w:val="0"/>
        <w:widowControl w:val="0"/>
        <w:kinsoku/>
        <w:wordWrap/>
        <w:overflowPunct/>
        <w:topLinePunct w:val="0"/>
        <w:autoSpaceDE/>
        <w:autoSpaceDN/>
        <w:bidi w:val="0"/>
        <w:adjustRightInd w:val="0"/>
        <w:snapToGrid w:val="0"/>
        <w:spacing w:after="0" w:line="590" w:lineRule="exact"/>
        <w:ind w:firstLine="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第四十七条【信息化建设】</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市级负有安全生产监督管理职责的部门应当统筹推进本行业、领域安全监管信息化建设。</w:t>
      </w:r>
    </w:p>
    <w:p>
      <w:pPr>
        <w:keepNext w:val="0"/>
        <w:keepLines w:val="0"/>
        <w:pageBreakBefore w:val="0"/>
        <w:widowControl w:val="0"/>
        <w:kinsoku/>
        <w:wordWrap/>
        <w:overflowPunct/>
        <w:topLinePunct w:val="0"/>
        <w:autoSpaceDE/>
        <w:autoSpaceDN/>
        <w:bidi w:val="0"/>
        <w:adjustRightInd w:val="0"/>
        <w:snapToGrid w:val="0"/>
        <w:spacing w:after="0" w:line="590" w:lineRule="exact"/>
        <w:ind w:firstLine="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市应急管理部门会同市网信部门、市数据部门根据安全监管工作需要制定本市安全监管数据共享制度。其他负有安全生产监督管理职责的部门应当按照规定向市信息资源共享交换平台推送本行业、领域安全监管数据，实现部门之间信息共享、互联互通。</w:t>
      </w:r>
    </w:p>
    <w:p>
      <w:pPr>
        <w:keepNext w:val="0"/>
        <w:keepLines w:val="0"/>
        <w:pageBreakBefore w:val="0"/>
        <w:widowControl w:val="0"/>
        <w:kinsoku/>
        <w:wordWrap/>
        <w:overflowPunct/>
        <w:topLinePunct w:val="0"/>
        <w:autoSpaceDE/>
        <w:autoSpaceDN/>
        <w:bidi w:val="0"/>
        <w:adjustRightInd w:val="0"/>
        <w:snapToGrid w:val="0"/>
        <w:spacing w:after="0" w:line="590" w:lineRule="exact"/>
        <w:ind w:firstLine="62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各区人民政府应当根据实际，加强本地区安全生产监督管理信息化建设，实现与市级部门的数据共享。</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第四十八条【信用建设】</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负有安全生产监督管理职责的部门应加强安全生产领域信用建设，对监管对象开展信用分级分类管理，</w:t>
      </w:r>
      <w:bookmarkStart w:id="17" w:name="_Hlk163831979"/>
      <w:r>
        <w:rPr>
          <w:rFonts w:hint="default" w:ascii="Times New Roman" w:hAnsi="Times New Roman" w:eastAsia="仿宋_GB2312" w:cs="Times New Roman"/>
          <w:sz w:val="32"/>
          <w:szCs w:val="32"/>
        </w:rPr>
        <w:t>实施守信激励和失信惩戒措施。</w:t>
      </w:r>
      <w:bookmarkEnd w:id="17"/>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第四十九条【专项资金】</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应当设立安全生产专项资金，用于安全生产信息化建设、安全培训教育、应急救援体系建设、重大危险源监控、重大隐患治理、公共安全基础设施、执法装备配备及其他安全生产工作。安全生产专项资金列入同级预算。</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第五十条【考核约谈】</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市和区人民政府应当将安全生产监督管理责任制考核纳入政府部门绩效考评指标体系，并将其作为各级人民政府、政府部门及其负责人考核评价的重要内容。</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市和区安全生产委员会及其办公室、有关部门应当按照本市规定对发生生产安全事故、安全生产工作不力的人民政府及政府有关部门、生产经营单位的相关负责人进行约谈，督促整改并形成约谈记录。</w:t>
      </w:r>
    </w:p>
    <w:p>
      <w:pPr>
        <w:pStyle w:val="9"/>
        <w:spacing w:line="590" w:lineRule="exact"/>
        <w:ind w:firstLine="622" w:firstLineChars="200"/>
        <w:jc w:val="center"/>
        <w:rPr>
          <w:rFonts w:hint="default" w:ascii="Times New Roman" w:hAnsi="Times New Roman" w:eastAsia="仿宋_GB2312" w:cs="Times New Roman"/>
          <w:sz w:val="32"/>
          <w:szCs w:val="32"/>
        </w:rPr>
      </w:pPr>
    </w:p>
    <w:p>
      <w:pPr>
        <w:pStyle w:val="9"/>
        <w:numPr>
          <w:ilvl w:val="0"/>
          <w:numId w:val="2"/>
        </w:numPr>
        <w:spacing w:line="590" w:lineRule="exact"/>
        <w:ind w:left="0" w:leftChars="0" w:firstLine="0" w:firstLineChars="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社会共治</w:t>
      </w:r>
    </w:p>
    <w:p>
      <w:pPr>
        <w:pStyle w:val="9"/>
        <w:numPr>
          <w:ilvl w:val="0"/>
          <w:numId w:val="0"/>
        </w:numPr>
        <w:spacing w:line="590" w:lineRule="exact"/>
        <w:ind w:leftChars="0"/>
        <w:jc w:val="both"/>
        <w:rPr>
          <w:rFonts w:hint="default" w:ascii="Times New Roman" w:hAnsi="Times New Roman" w:eastAsia="方正黑体_GBK" w:cs="Times New Roman"/>
          <w:sz w:val="32"/>
          <w:szCs w:val="32"/>
        </w:rPr>
      </w:pP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第五十一条【实践基地】</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市和区人民政府应当逐步设立安全教育实践基地，鼓励大型企业和其他有条件的生产经营单位建立安全教育实践基地，开展从业人员安全生产技能培训。</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安全教育实践基地可以向社会开放，鼓励充分利用安全教育实践基地，举办多种形式的安全体验活动。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第五十二条【行业自律】</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有关行业协会应当加强行业自律，依照法律、法规和章程，为生产经营单位提供安全生产信息咨询、技术交流、教育培训等服务，指导生产经营单位加强安全生产管理，参与相关安全生产检查，参与制定安全生产相关标准。</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第五十三条【中介机构服务】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本市支持中介服务机构依法开展安全生产评价、检测、检验等社会化服务。</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从事安全生产社会化服务的中介机构应当具备法律、行政法规规定的资质或者条件，为生产经营单位、相关政府部门等提供专业技术服务，提升技术能力和服务水平，并依法对其提供的服务承担责任。 </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第五十四条【保险机构】</w:t>
      </w:r>
      <w:r>
        <w:rPr>
          <w:rFonts w:hint="default" w:ascii="Times New Roman" w:hAnsi="Times New Roman" w:eastAsia="仿宋_GB2312" w:cs="Times New Roman"/>
          <w:sz w:val="32"/>
          <w:szCs w:val="32"/>
        </w:rPr>
        <w:t>承保安全生产责任保险的保险机构应当建立并落实生产安全事故预防服务制度，</w:t>
      </w:r>
      <w:r>
        <w:rPr>
          <w:rFonts w:hint="default" w:ascii="Times New Roman" w:hAnsi="Times New Roman" w:eastAsia="仿宋_GB2312" w:cs="Times New Roman"/>
          <w:sz w:val="32"/>
          <w:szCs w:val="32"/>
          <w:lang w:eastAsia="zh-CN"/>
        </w:rPr>
        <w:t>按照规定</w:t>
      </w:r>
      <w:r>
        <w:rPr>
          <w:rFonts w:hint="default" w:ascii="Times New Roman" w:hAnsi="Times New Roman" w:eastAsia="仿宋_GB2312" w:cs="Times New Roman"/>
          <w:sz w:val="32"/>
          <w:szCs w:val="32"/>
        </w:rPr>
        <w:t>协助投保的生产经营单位提供安全生产教育培训、安全风险辨识评估、安全生产标准化建设、事故隐患排查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应急预案编制和应急救援演练等方面的事故预防服务，并向负有安全生产监督管理职责的部门报告情况。</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第五十五条【举报奖励】</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任何单位或者个人发现事故隐患或者安全生产违法行为的，可以通过投诉电话、信件及电子邮件等方式向负有安全生产监督管理职责的部门举报。</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负有安全生产监督管理职责的部门应当公开举报途径，完善处置流程。接到举报后，按照相关规定处理和反馈，并对举报人的信息予以保密。</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bookmarkStart w:id="18" w:name="_Hlk162257784"/>
      <w:r>
        <w:rPr>
          <w:rFonts w:hint="default" w:ascii="Times New Roman" w:hAnsi="Times New Roman" w:eastAsia="仿宋_GB2312" w:cs="Times New Roman"/>
          <w:sz w:val="32"/>
          <w:szCs w:val="32"/>
        </w:rPr>
        <w:t>负有安全生产监督管理职责的部门对报告重大事故隐患或者举报安全生产违法行为的有功人员，给予奖励。</w:t>
      </w:r>
      <w:bookmarkEnd w:id="18"/>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第五十六条【供应链管理】</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本市鼓励生产经营单位在遴选供应商和合作方时，综合考核供应商、合作方的安全生产条件、安全生产标准化建设水平以及风险管控情况，带动上下游生产经营单位安全生产管理水平的提升。</w:t>
      </w:r>
    </w:p>
    <w:p>
      <w:pPr>
        <w:pStyle w:val="9"/>
        <w:spacing w:line="590" w:lineRule="exact"/>
        <w:ind w:firstLine="622" w:firstLineChars="200"/>
        <w:jc w:val="center"/>
        <w:rPr>
          <w:rFonts w:hint="default" w:ascii="Times New Roman" w:hAnsi="Times New Roman" w:eastAsia="仿宋_GB2312" w:cs="Times New Roman"/>
          <w:sz w:val="32"/>
          <w:szCs w:val="32"/>
        </w:rPr>
      </w:pPr>
    </w:p>
    <w:p>
      <w:pPr>
        <w:pStyle w:val="9"/>
        <w:spacing w:line="590" w:lineRule="exact"/>
        <w:ind w:firstLine="622" w:firstLineChars="20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应急救援与事故调查处理</w:t>
      </w:r>
    </w:p>
    <w:p>
      <w:pPr>
        <w:pStyle w:val="9"/>
        <w:spacing w:line="590" w:lineRule="exact"/>
        <w:ind w:firstLine="622" w:firstLineChars="200"/>
        <w:rPr>
          <w:rFonts w:hint="default" w:ascii="Times New Roman" w:hAnsi="Times New Roman" w:eastAsia="仿宋_GB2312" w:cs="Times New Roman"/>
          <w:sz w:val="32"/>
          <w:szCs w:val="32"/>
        </w:rPr>
      </w:pP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第五十七条【政府救援职责</w:t>
      </w:r>
      <w:bookmarkStart w:id="19" w:name="No229_Z5T53"/>
      <w:bookmarkEnd w:id="19"/>
      <w:bookmarkStart w:id="20" w:name="No228_Z5T52K2"/>
      <w:bookmarkEnd w:id="20"/>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市和区人民政府加强生产安全事故应急能力建设，建立健全应急救援体系，组织有关部门制定生产安全事故应急救援预案，</w:t>
      </w:r>
      <w:bookmarkStart w:id="21" w:name="_Hlk162270071"/>
      <w:r>
        <w:rPr>
          <w:rFonts w:hint="default" w:ascii="Times New Roman" w:hAnsi="Times New Roman" w:eastAsia="仿宋_GB2312" w:cs="Times New Roman"/>
          <w:sz w:val="32"/>
          <w:szCs w:val="32"/>
        </w:rPr>
        <w:t>在重点行业、领域单独建立或者依托有条件的生产经营单位共同建立应急救援队伍、</w:t>
      </w:r>
      <w:bookmarkStart w:id="22" w:name="_Hlk162270115"/>
      <w:r>
        <w:rPr>
          <w:rFonts w:hint="default" w:ascii="Times New Roman" w:hAnsi="Times New Roman" w:eastAsia="仿宋_GB2312" w:cs="Times New Roman"/>
          <w:sz w:val="32"/>
          <w:szCs w:val="32"/>
        </w:rPr>
        <w:t>应急救援基地和应急物资储备库</w:t>
      </w:r>
      <w:bookmarkEnd w:id="22"/>
      <w:r>
        <w:rPr>
          <w:rFonts w:hint="default" w:ascii="Times New Roman" w:hAnsi="Times New Roman" w:eastAsia="仿宋_GB2312" w:cs="Times New Roman"/>
          <w:sz w:val="32"/>
          <w:szCs w:val="32"/>
        </w:rPr>
        <w:t>。</w:t>
      </w:r>
    </w:p>
    <w:bookmarkEnd w:id="21"/>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乡镇人民政府、街道办事处，以及开发区、工业园区、港区、风景区等应当制定相应的生产安全事故应急救援预案，协助人民政府有关部门或者按照授权依法履行生产安全事故应急救援工作职责。</w:t>
      </w:r>
    </w:p>
    <w:p>
      <w:pPr>
        <w:pStyle w:val="9"/>
        <w:spacing w:line="590" w:lineRule="exact"/>
        <w:ind w:firstLine="622" w:firstLineChars="200"/>
        <w:rPr>
          <w:rFonts w:hint="default" w:ascii="Times New Roman" w:hAnsi="Times New Roman" w:eastAsia="仿宋_GB2312" w:cs="Times New Roman"/>
          <w:sz w:val="32"/>
          <w:szCs w:val="32"/>
        </w:rPr>
      </w:pPr>
      <w:bookmarkStart w:id="23" w:name="_Hlk162270773"/>
      <w:r>
        <w:rPr>
          <w:rFonts w:hint="default" w:ascii="Times New Roman" w:hAnsi="Times New Roman" w:eastAsia="方正黑体_GBK" w:cs="Times New Roman"/>
          <w:sz w:val="32"/>
          <w:szCs w:val="32"/>
        </w:rPr>
        <w:t>第五十八条【预案演练】</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生产经营单位应当根据本单位可能发生的生产安全事故种类、特点和危害制定本单位生产安全事故应急救援预案，与所在区人民政府组织制定的生产安全事故应急救援预案相衔接，并按照相关规定定期组织演练。</w:t>
      </w:r>
    </w:p>
    <w:bookmarkEnd w:id="23"/>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第五十九条【应急组织】</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危险物品的生产、经营、储存单位以及矿山、金属冶炼、城市轨道交通运营、建筑施工单位应当建立应急救援组织，落实应急值班制度，安排应急值守人员，配备必要的应急救援器材、设备和物资，并进行经常性维护、保养，保证正常运转。</w:t>
      </w:r>
      <w:bookmarkStart w:id="24" w:name="_Hlk162271250"/>
      <w:r>
        <w:rPr>
          <w:rFonts w:hint="default" w:ascii="Times New Roman" w:hAnsi="Times New Roman" w:eastAsia="仿宋_GB2312" w:cs="Times New Roman"/>
          <w:sz w:val="32"/>
          <w:szCs w:val="32"/>
        </w:rPr>
        <w:t>其中，小型、微型企业等规模较小的生产经营单位，可以不建立应急救援组织，但应当指定兼职的应急救援人员，或者与邻近建有专业救援队伍的生产经营单位签订救援协议，或者联合建立应急救援组织。</w:t>
      </w:r>
      <w:bookmarkEnd w:id="24"/>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开发区、工业园区、港区等产业聚集区域内的生产经营单位，可以联合建立应急救援组织。</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本市鼓励和支持生产经营单位和其他社会力量建立提供社会化应急救援服务的应急救援组织。</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第六十条【事故报告】</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生产经营单位发生生产安全事故后，事故现场有关人员应当立即报告本单位负责人。</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负责人接到事故报告后，应当立即启动应急预案，迅速采取有效措施，组织抢救，防止事故扩大，减少人员伤亡和财产损失，并同时报告事故发生地应急管理部门和其他负有安全生产监督管理职责的有关部门。不得隐瞒不报、谎报或者迟报，不得故意破坏事故现场、毁灭有关证据。事故涉及到两个以上单位的，涉及单位均应报告。</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应急管理部门和其他负有安全生产监督管理职责的有关部门接到事故报告后，应当立即按照国家和本市有关规定上报事故情况。</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第六十一条【现场指挥】</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发生生产安全事故后，市或区级人民政府认为有必要的，可以设立应急救援现场指挥部，明确工作职责，并指定现场指挥部总指挥。</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参与事故抢救的部门和单位应当服从统一指挥，加强协同联动，采取有效的应急救援措施，防止事故扩大和次生灾害的发生，减少人员伤亡和财产损失。</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第六十二条【事故调查分级】</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生产安全事故调查按照下列规定分级负责：</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（一）重大事故由市人民政府组织事故调查组进行调查；</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（二）较大事故由市人民政府授权市级应急管理部门组织有关部门调查；</w:t>
      </w:r>
    </w:p>
    <w:p>
      <w:pPr>
        <w:pStyle w:val="9"/>
        <w:spacing w:line="590" w:lineRule="exact"/>
        <w:ind w:firstLine="622" w:firstLineChars="200"/>
        <w:rPr>
          <w:rFonts w:hint="default" w:ascii="Times New Roman" w:hAnsi="Times New Roman" w:eastAsia="仿宋_GB2312" w:cs="Times New Roman"/>
          <w:color w:val="000000"/>
        </w:rPr>
      </w:pPr>
      <w:r>
        <w:rPr>
          <w:rFonts w:hint="default" w:ascii="Times New Roman" w:hAnsi="Times New Roman" w:eastAsia="仿宋_GB2312" w:cs="Times New Roman"/>
          <w:sz w:val="32"/>
          <w:szCs w:val="32"/>
        </w:rPr>
        <w:t>（三）一般事故由事故发生地的区人民政府授权区应急管理部门组织有关部门调查。</w:t>
      </w:r>
      <w:bookmarkStart w:id="25" w:name="_Hlk162273294"/>
      <w:r>
        <w:rPr>
          <w:rFonts w:hint="default" w:ascii="Times New Roman" w:hAnsi="Times New Roman" w:eastAsia="仿宋_GB2312" w:cs="Times New Roman"/>
          <w:sz w:val="32"/>
          <w:szCs w:val="32"/>
        </w:rPr>
        <w:t>市人民政府认为必要时，可以授权市应急管理部门直接组织有关部门进行调查</w:t>
      </w:r>
      <w:bookmarkEnd w:id="25"/>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rPr>
        <w:t xml:space="preserve"> </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第六十三条【事故调查</w:t>
      </w:r>
      <w:bookmarkStart w:id="26" w:name="_Hlk162274628"/>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事故调查组</w:t>
      </w:r>
      <w:bookmarkEnd w:id="26"/>
      <w:r>
        <w:rPr>
          <w:rFonts w:hint="default" w:ascii="Times New Roman" w:hAnsi="Times New Roman" w:eastAsia="仿宋_GB2312" w:cs="Times New Roman"/>
          <w:sz w:val="32"/>
          <w:szCs w:val="32"/>
        </w:rPr>
        <w:t>应当明确事故调查组各成员单位职责，</w:t>
      </w:r>
      <w:bookmarkStart w:id="27" w:name="_Hlk162275435"/>
      <w:r>
        <w:rPr>
          <w:rFonts w:hint="default" w:ascii="Times New Roman" w:hAnsi="Times New Roman" w:eastAsia="仿宋_GB2312" w:cs="Times New Roman"/>
          <w:sz w:val="32"/>
          <w:szCs w:val="32"/>
        </w:rPr>
        <w:t>按照国家有关规定对事故进行调查</w:t>
      </w:r>
      <w:bookmarkEnd w:id="27"/>
      <w:r>
        <w:rPr>
          <w:rFonts w:hint="default" w:ascii="Times New Roman" w:hAnsi="Times New Roman" w:eastAsia="仿宋_GB2312" w:cs="Times New Roman"/>
          <w:sz w:val="32"/>
          <w:szCs w:val="32"/>
        </w:rPr>
        <w:t>，形成事故调查报告，由负责组织事故调查的单位向本级人民政府提交。</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事故调查组成员对事故原因、责任认定、责任者处理建议等有不同意见的，事故调查组组长有权提出结论性意见，但对事故调查组成员的不同意见，应当如实反映。</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市和区人民政府</w:t>
      </w:r>
      <w:bookmarkStart w:id="28" w:name="_Hlk162274474"/>
      <w:r>
        <w:rPr>
          <w:rFonts w:hint="default" w:ascii="Times New Roman" w:hAnsi="Times New Roman" w:eastAsia="仿宋_GB2312" w:cs="Times New Roman"/>
          <w:sz w:val="32"/>
          <w:szCs w:val="32"/>
        </w:rPr>
        <w:t>应当在规定的时限内</w:t>
      </w:r>
      <w:bookmarkEnd w:id="28"/>
      <w:r>
        <w:rPr>
          <w:rFonts w:hint="default" w:ascii="Times New Roman" w:hAnsi="Times New Roman" w:eastAsia="仿宋_GB2312" w:cs="Times New Roman"/>
          <w:sz w:val="32"/>
          <w:szCs w:val="32"/>
        </w:rPr>
        <w:t>，对事故调查报告予以批复，事故调查报告应当依法及时向社会公布。</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第六十四条【事故认定】</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因事故发生单位对事故谎报、瞒报或者破坏事故现场，导致事故经过、原因和责任无法查明的，可以认定为该单位的生产安全责任事故。</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第六十五条【事故整改和落实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有关部门应当按照人民政府的批复，依照法律、行政法规规定的权限和程序，对事故发生单位和有关人员进行行政处罚，对负有事故责任的国家工作人员进行处分。</w:t>
      </w:r>
      <w:r>
        <w:rPr>
          <w:rFonts w:hint="default" w:ascii="Times New Roman" w:hAnsi="Times New Roman" w:cs="Times New Roman"/>
        </w:rPr>
        <w:fldChar w:fldCharType="begin"/>
      </w:r>
      <w:r>
        <w:rPr>
          <w:rFonts w:hint="default" w:ascii="Times New Roman" w:hAnsi="Times New Roman" w:cs="Times New Roman"/>
        </w:rPr>
        <w:instrText xml:space="preserve"> HYPERLINK "javascript:void(0);" </w:instrText>
      </w:r>
      <w:r>
        <w:rPr>
          <w:rFonts w:hint="default" w:ascii="Times New Roman" w:hAnsi="Times New Roman" w:cs="Times New Roman"/>
        </w:rPr>
        <w:fldChar w:fldCharType="separate"/>
      </w:r>
      <w:r>
        <w:rPr>
          <w:rFonts w:hint="default" w:ascii="Times New Roman" w:hAnsi="Times New Roman" w:cs="Times New Roman"/>
        </w:rPr>
        <w:fldChar w:fldCharType="end"/>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事故发生单位应当按照人民政府批复的事故调查报告处理意见，对责任人员依法进行处理，落实整改措施，并在收到批复后三十日内将落实情况报送组织事故调查的人民政府或者应急管理部门。</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负责事故调查处理的市和区人民政府应当在批复事故调查报告后一年内，组织有关部门对事故整改和防范措施落实情况进行评估，评估报告应当及时向社会公布。</w:t>
      </w:r>
    </w:p>
    <w:p>
      <w:pPr>
        <w:pStyle w:val="9"/>
        <w:spacing w:line="590" w:lineRule="exact"/>
        <w:ind w:firstLine="622" w:firstLineChars="200"/>
        <w:jc w:val="center"/>
        <w:rPr>
          <w:rFonts w:hint="default" w:ascii="Times New Roman" w:hAnsi="Times New Roman" w:eastAsia="方正黑体_GBK" w:cs="Times New Roman"/>
          <w:sz w:val="32"/>
          <w:szCs w:val="32"/>
        </w:rPr>
      </w:pPr>
    </w:p>
    <w:p>
      <w:pPr>
        <w:pStyle w:val="9"/>
        <w:numPr>
          <w:ilvl w:val="0"/>
          <w:numId w:val="4"/>
        </w:numPr>
        <w:spacing w:line="590" w:lineRule="exact"/>
        <w:ind w:firstLine="622" w:firstLineChars="20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法律责任</w:t>
      </w:r>
    </w:p>
    <w:p>
      <w:pPr>
        <w:pStyle w:val="9"/>
        <w:numPr>
          <w:ilvl w:val="0"/>
          <w:numId w:val="0"/>
        </w:numPr>
        <w:spacing w:line="590" w:lineRule="exact"/>
        <w:jc w:val="both"/>
        <w:rPr>
          <w:rFonts w:hint="default" w:ascii="Times New Roman" w:hAnsi="Times New Roman" w:eastAsia="方正黑体_GBK" w:cs="Times New Roman"/>
          <w:sz w:val="32"/>
          <w:szCs w:val="32"/>
        </w:rPr>
      </w:pP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第六十六条【法律责任适用原则】</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违反本条例规定的行为，《</w:t>
      </w:r>
      <w:r>
        <w:rPr>
          <w:rFonts w:hint="default" w:ascii="Times New Roman" w:hAnsi="Times New Roman" w:cs="Times New Roman"/>
        </w:rPr>
        <w:fldChar w:fldCharType="begin"/>
      </w:r>
      <w:r>
        <w:rPr>
          <w:rFonts w:hint="default" w:ascii="Times New Roman" w:hAnsi="Times New Roman" w:cs="Times New Roman"/>
        </w:rPr>
        <w:instrText xml:space="preserve"> HYPERLINK "file:///C:\\Users\\lenovo\\owiny\\Documents\\业务管理\\非诉专项服务\\立法、规划项目\\市应急局\\立法项目\\2022年《天津市安全生产条例》\\成果\\2024\\document\\show%3fcollection=legislation&amp;aid=MTAxMDAxNDQ3NzM=&amp;language=中文" \t "_blank"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中华人民共和国安全生产法</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》等有关法律、法规已有处罚规定的，从其规定；构成犯罪的，依法追究刑事责任。</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第六十七条【未按规定设置安全管理机构或管理人员的处罚】</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未按照本条例规定，设置安全生产管理机构或者配备安全生产管理人员的，责令限期改正，处十万元以下的罚款；逾期未改正的，责令停产停业整顿，并处十万元以上二十万元以下的罚款，对其直接负责的主管人员和其他直接责任人员处二万元以上五万元以下的罚款。</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第六十八条【危险作业的处罚】</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未按照本条例规定进行爆破、动火、吊装、建筑物拆除、高处作业、土方开挖、管线疏浚、有限空间作业、临时用电以及国家规定的其他危险作业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第六十九条【餐饮热源处罚】</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生产经营单位违反本条例规定供应或者使用五十公斤以上的罐装液化石油气的，由燃气主管部门责令限期改正；逾期未改正的，处二千元以上二万元以下的罚款。</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第七十条【危化专用车辆处罚】</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危险化学品专用车辆违反本条例规定，未在划设的危险化学品运输专用车道内通行的，由公安交通管理部门对车辆驾驶人处警告或者二十元以上二百元以下的罚款。</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第七十一条【行政处罚主体规定】</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本条例规定的行政处罚由应急管理部门和其他负有安全生产监督管理职责的部门按照职责分工决定。</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第七十二条【责任追究】</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仿宋_GB2312" w:cs="Times New Roman"/>
          <w:sz w:val="32"/>
          <w:szCs w:val="32"/>
        </w:rPr>
        <w:t>市、区人民政府、有关部门以及乡镇人民政府、街道办事处工作人员的安全生产责任追究，应当根据岗位职责，综合考量履职情况、履职条件、主观过错、产生后果、因果关系等因素，对照年度监督检查计划、权力和责任清单，失职照单问责、尽职照单免责。</w:t>
      </w: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安全事故调查中，查明有关人民政府和部门的工作人员已经依法履行安全生产法定职责的，依法免予或者不予追责问责；查明负有责任的工作人员有主动采取措施，有效挽回损失、避免损失扩大，或者主动配合调查等情形的，可以依法从轻、减轻处分。</w:t>
      </w:r>
    </w:p>
    <w:p>
      <w:pPr>
        <w:adjustRightInd w:val="0"/>
        <w:snapToGrid w:val="0"/>
        <w:spacing w:line="360" w:lineRule="auto"/>
        <w:jc w:val="both"/>
        <w:rPr>
          <w:rFonts w:hint="default" w:ascii="Times New Roman" w:hAnsi="Times New Roman" w:eastAsia="黑体" w:cs="Times New Roman"/>
          <w:color w:val="000000"/>
          <w:sz w:val="32"/>
          <w:szCs w:val="32"/>
        </w:rPr>
      </w:pPr>
    </w:p>
    <w:p>
      <w:pPr>
        <w:numPr>
          <w:ilvl w:val="0"/>
          <w:numId w:val="4"/>
        </w:numPr>
        <w:adjustRightInd w:val="0"/>
        <w:snapToGrid w:val="0"/>
        <w:spacing w:line="360" w:lineRule="auto"/>
        <w:ind w:left="0" w:leftChars="0" w:firstLine="622" w:firstLineChars="200"/>
        <w:jc w:val="center"/>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附则</w:t>
      </w:r>
    </w:p>
    <w:p>
      <w:pPr>
        <w:pStyle w:val="7"/>
        <w:numPr>
          <w:ilvl w:val="0"/>
          <w:numId w:val="0"/>
        </w:numPr>
        <w:rPr>
          <w:rFonts w:hint="default" w:ascii="Times New Roman" w:hAnsi="Times New Roman" w:cs="Times New Roman"/>
        </w:rPr>
      </w:pPr>
    </w:p>
    <w:p>
      <w:pPr>
        <w:pStyle w:val="9"/>
        <w:spacing w:line="590" w:lineRule="exact"/>
        <w:ind w:firstLine="622" w:firstLineChars="200"/>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第七十三条【实施时间】</w:t>
      </w:r>
      <w:r>
        <w:rPr>
          <w:rFonts w:hint="default" w:ascii="Times New Roman" w:hAnsi="Times New Roman" w:eastAsia="仿宋_GB2312" w:cs="Times New Roman"/>
          <w:sz w:val="32"/>
          <w:szCs w:val="32"/>
        </w:rPr>
        <w:t>　本条例自    年   月   日起施行。</w:t>
      </w:r>
    </w:p>
    <w:p>
      <w:pPr>
        <w:rPr>
          <w:rFonts w:hint="default" w:ascii="Times New Roman" w:hAnsi="Times New Roman" w:cs="Times New Roman"/>
        </w:rPr>
      </w:pPr>
    </w:p>
    <w:p>
      <w:pPr>
        <w:pStyle w:val="15"/>
        <w:spacing w:before="0" w:beforeAutospacing="0" w:after="0" w:afterAutospacing="0" w:line="590" w:lineRule="exact"/>
        <w:jc w:val="both"/>
        <w:rPr>
          <w:rFonts w:hint="default" w:ascii="Times New Roman" w:hAnsi="Times New Roman" w:eastAsia="黑体" w:cs="Times New Roman"/>
          <w:sz w:val="32"/>
          <w:szCs w:val="44"/>
        </w:rPr>
      </w:pPr>
    </w:p>
    <w:p>
      <w:pPr>
        <w:pStyle w:val="15"/>
        <w:spacing w:before="0" w:beforeAutospacing="0" w:after="0" w:afterAutospacing="0" w:line="590" w:lineRule="exact"/>
        <w:jc w:val="both"/>
        <w:rPr>
          <w:rFonts w:hint="default" w:ascii="Times New Roman" w:hAnsi="Times New Roman" w:eastAsia="黑体" w:cs="Times New Roman"/>
          <w:sz w:val="32"/>
          <w:szCs w:val="44"/>
        </w:rPr>
      </w:pPr>
    </w:p>
    <w:p>
      <w:pPr>
        <w:pStyle w:val="15"/>
        <w:spacing w:before="0" w:beforeAutospacing="0" w:after="0" w:afterAutospacing="0" w:line="590" w:lineRule="exact"/>
        <w:jc w:val="both"/>
        <w:rPr>
          <w:rFonts w:hint="default" w:ascii="Times New Roman" w:hAnsi="Times New Roman" w:eastAsia="黑体" w:cs="Times New Roman"/>
          <w:sz w:val="32"/>
          <w:szCs w:val="44"/>
        </w:rPr>
      </w:pPr>
    </w:p>
    <w:p>
      <w:pPr>
        <w:pStyle w:val="15"/>
        <w:spacing w:before="0" w:beforeAutospacing="0" w:after="0" w:afterAutospacing="0" w:line="590" w:lineRule="exact"/>
        <w:jc w:val="both"/>
        <w:rPr>
          <w:rFonts w:hint="default" w:ascii="Times New Roman" w:hAnsi="Times New Roman" w:eastAsia="黑体" w:cs="Times New Roman"/>
          <w:sz w:val="32"/>
          <w:szCs w:val="44"/>
        </w:rPr>
      </w:pPr>
    </w:p>
    <w:p>
      <w:pPr>
        <w:pStyle w:val="15"/>
        <w:spacing w:before="0" w:beforeAutospacing="0" w:after="0" w:afterAutospacing="0" w:line="590" w:lineRule="exact"/>
        <w:jc w:val="both"/>
        <w:rPr>
          <w:rFonts w:hint="default" w:ascii="Times New Roman" w:hAnsi="Times New Roman" w:eastAsia="黑体" w:cs="Times New Roman"/>
          <w:sz w:val="32"/>
          <w:szCs w:val="44"/>
        </w:rPr>
      </w:pPr>
    </w:p>
    <w:p>
      <w:pPr>
        <w:pStyle w:val="12"/>
        <w:rPr>
          <w:rFonts w:hint="default" w:ascii="Times New Roman" w:hAnsi="Times New Roman" w:eastAsia="仿宋_GB2312" w:cs="Times New Roman"/>
          <w:lang w:eastAsia="zh-CN"/>
        </w:rPr>
      </w:pPr>
    </w:p>
    <w:sectPr>
      <w:footerReference r:id="rId3" w:type="default"/>
      <w:footerReference r:id="rId4" w:type="even"/>
      <w:pgSz w:w="11906" w:h="16838"/>
      <w:pgMar w:top="2098" w:right="1531" w:bottom="1985" w:left="1531" w:header="1247" w:footer="1588" w:gutter="0"/>
      <w:cols w:space="425" w:num="1"/>
      <w:docGrid w:type="linesAndChars" w:linePitch="579" w:charSpace="-1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仿宋"/>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altName w:val="Droid Sans"/>
    <w:panose1 w:val="020B0604030504040204"/>
    <w:charset w:val="00"/>
    <w:family w:val="swiss"/>
    <w:pitch w:val="default"/>
    <w:sig w:usb0="00000000" w:usb1="00000000" w:usb2="00000029" w:usb3="00000000" w:csb0="200101FF" w:csb1="20280000"/>
  </w:font>
  <w:font w:name="Droid Sans">
    <w:panose1 w:val="020B0606030804020204"/>
    <w:charset w:val="00"/>
    <w:family w:val="auto"/>
    <w:pitch w:val="default"/>
    <w:sig w:usb0="E00002EF" w:usb1="4000205B" w:usb2="00000028" w:usb3="00000000" w:csb0="2000019F"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sz w:val="28"/>
        <w:szCs w:val="28"/>
      </w:rPr>
    </w:pPr>
    <w:r>
      <w:rPr>
        <w:rStyle w:val="21"/>
        <w:color w:val="FFFFFF"/>
        <w:sz w:val="28"/>
        <w:szCs w:val="28"/>
      </w:rPr>
      <w:t>–—</w:t>
    </w:r>
    <w:r>
      <w:rPr>
        <w:rStyle w:val="21"/>
        <w:sz w:val="28"/>
        <w:szCs w:val="28"/>
      </w:rPr>
      <w:t>—</w:t>
    </w:r>
    <w:r>
      <w:rPr>
        <w:rStyle w:val="21"/>
        <w:color w:val="FFFFFF"/>
        <w:sz w:val="28"/>
        <w:szCs w:val="28"/>
      </w:rPr>
      <w:t>–</w:t>
    </w: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rPr>
      <w:t>82</w:t>
    </w:r>
    <w:r>
      <w:rPr>
        <w:rStyle w:val="21"/>
        <w:sz w:val="28"/>
        <w:szCs w:val="28"/>
      </w:rPr>
      <w:fldChar w:fldCharType="end"/>
    </w:r>
    <w:r>
      <w:rPr>
        <w:rStyle w:val="21"/>
        <w:color w:val="FFFFFF"/>
        <w:sz w:val="28"/>
        <w:szCs w:val="28"/>
      </w:rPr>
      <w:t>–</w:t>
    </w:r>
    <w:r>
      <w:rPr>
        <w:rStyle w:val="21"/>
        <w:sz w:val="28"/>
        <w:szCs w:val="28"/>
      </w:rPr>
      <w:t>—</w:t>
    </w:r>
    <w:r>
      <w:rPr>
        <w:rStyle w:val="21"/>
        <w:color w:val="FFFFFF"/>
        <w:sz w:val="28"/>
        <w:szCs w:val="28"/>
      </w:rPr>
      <w:t>——</w:t>
    </w:r>
  </w:p>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1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AED06F"/>
    <w:multiLevelType w:val="singleLevel"/>
    <w:tmpl w:val="DDAED06F"/>
    <w:lvl w:ilvl="0" w:tentative="0">
      <w:start w:val="1"/>
      <w:numFmt w:val="chineseCounting"/>
      <w:suff w:val="nothing"/>
      <w:lvlText w:val="（%1）"/>
      <w:lvlJc w:val="left"/>
      <w:rPr>
        <w:rFonts w:hint="eastAsia"/>
      </w:rPr>
    </w:lvl>
  </w:abstractNum>
  <w:abstractNum w:abstractNumId="1">
    <w:nsid w:val="DE864DAA"/>
    <w:multiLevelType w:val="singleLevel"/>
    <w:tmpl w:val="DE864DAA"/>
    <w:lvl w:ilvl="0" w:tentative="0">
      <w:start w:val="3"/>
      <w:numFmt w:val="chineseCounting"/>
      <w:suff w:val="space"/>
      <w:lvlText w:val="第%1章"/>
      <w:lvlJc w:val="left"/>
      <w:rPr>
        <w:rFonts w:hint="eastAsia"/>
      </w:rPr>
    </w:lvl>
  </w:abstractNum>
  <w:abstractNum w:abstractNumId="2">
    <w:nsid w:val="1EF395C4"/>
    <w:multiLevelType w:val="singleLevel"/>
    <w:tmpl w:val="1EF395C4"/>
    <w:lvl w:ilvl="0" w:tentative="0">
      <w:start w:val="2"/>
      <w:numFmt w:val="chineseCounting"/>
      <w:suff w:val="space"/>
      <w:lvlText w:val="第%1节"/>
      <w:lvlJc w:val="left"/>
      <w:rPr>
        <w:rFonts w:hint="eastAsia"/>
      </w:rPr>
    </w:lvl>
  </w:abstractNum>
  <w:abstractNum w:abstractNumId="3">
    <w:nsid w:val="6FEE4299"/>
    <w:multiLevelType w:val="singleLevel"/>
    <w:tmpl w:val="6FEE4299"/>
    <w:lvl w:ilvl="0" w:tentative="0">
      <w:start w:val="6"/>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3"/>
  <w:drawingGridVerticalSpacing w:val="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28"/>
    <w:rsid w:val="00013BA8"/>
    <w:rsid w:val="000208A2"/>
    <w:rsid w:val="0003139D"/>
    <w:rsid w:val="000328AD"/>
    <w:rsid w:val="000433E6"/>
    <w:rsid w:val="00045342"/>
    <w:rsid w:val="00045A30"/>
    <w:rsid w:val="00060A32"/>
    <w:rsid w:val="0006142B"/>
    <w:rsid w:val="00061FC6"/>
    <w:rsid w:val="0006323D"/>
    <w:rsid w:val="00065D4E"/>
    <w:rsid w:val="00065FFC"/>
    <w:rsid w:val="00066E74"/>
    <w:rsid w:val="000873B0"/>
    <w:rsid w:val="00092428"/>
    <w:rsid w:val="000A5366"/>
    <w:rsid w:val="000A7BCC"/>
    <w:rsid w:val="000D4781"/>
    <w:rsid w:val="000E198B"/>
    <w:rsid w:val="000E1CDD"/>
    <w:rsid w:val="000E24F9"/>
    <w:rsid w:val="000E337E"/>
    <w:rsid w:val="000F3196"/>
    <w:rsid w:val="00100031"/>
    <w:rsid w:val="00101075"/>
    <w:rsid w:val="00101EA2"/>
    <w:rsid w:val="00103187"/>
    <w:rsid w:val="00105D63"/>
    <w:rsid w:val="00110C7C"/>
    <w:rsid w:val="001147FE"/>
    <w:rsid w:val="00131F2B"/>
    <w:rsid w:val="00141B99"/>
    <w:rsid w:val="001420A9"/>
    <w:rsid w:val="001435D4"/>
    <w:rsid w:val="00191FE6"/>
    <w:rsid w:val="001A02ED"/>
    <w:rsid w:val="001B6C34"/>
    <w:rsid w:val="001C7518"/>
    <w:rsid w:val="001C7712"/>
    <w:rsid w:val="001E0648"/>
    <w:rsid w:val="001E12FB"/>
    <w:rsid w:val="001F20E4"/>
    <w:rsid w:val="00200187"/>
    <w:rsid w:val="00204338"/>
    <w:rsid w:val="00210D5E"/>
    <w:rsid w:val="00211E56"/>
    <w:rsid w:val="002129D4"/>
    <w:rsid w:val="00212FFD"/>
    <w:rsid w:val="002204E4"/>
    <w:rsid w:val="00241E80"/>
    <w:rsid w:val="00245C9C"/>
    <w:rsid w:val="00246E8B"/>
    <w:rsid w:val="00247575"/>
    <w:rsid w:val="00257E8F"/>
    <w:rsid w:val="00266A51"/>
    <w:rsid w:val="002720BE"/>
    <w:rsid w:val="00272E04"/>
    <w:rsid w:val="0028394C"/>
    <w:rsid w:val="002A10CE"/>
    <w:rsid w:val="002B1405"/>
    <w:rsid w:val="002B5FF9"/>
    <w:rsid w:val="002B73AF"/>
    <w:rsid w:val="002D4868"/>
    <w:rsid w:val="002E0014"/>
    <w:rsid w:val="002E0D95"/>
    <w:rsid w:val="002E0E85"/>
    <w:rsid w:val="002E6642"/>
    <w:rsid w:val="002F356D"/>
    <w:rsid w:val="002F7378"/>
    <w:rsid w:val="002F7489"/>
    <w:rsid w:val="00302A65"/>
    <w:rsid w:val="00310B64"/>
    <w:rsid w:val="00335107"/>
    <w:rsid w:val="00341C51"/>
    <w:rsid w:val="0034777A"/>
    <w:rsid w:val="00355C2B"/>
    <w:rsid w:val="00363F10"/>
    <w:rsid w:val="0036574A"/>
    <w:rsid w:val="00381D68"/>
    <w:rsid w:val="00392EE7"/>
    <w:rsid w:val="00395A4E"/>
    <w:rsid w:val="003B1094"/>
    <w:rsid w:val="003B4E04"/>
    <w:rsid w:val="003B622F"/>
    <w:rsid w:val="003C7CD4"/>
    <w:rsid w:val="003D425B"/>
    <w:rsid w:val="003E39C1"/>
    <w:rsid w:val="00403FB0"/>
    <w:rsid w:val="00414484"/>
    <w:rsid w:val="004268A7"/>
    <w:rsid w:val="00440908"/>
    <w:rsid w:val="0044381F"/>
    <w:rsid w:val="004553D2"/>
    <w:rsid w:val="00456D14"/>
    <w:rsid w:val="0045790B"/>
    <w:rsid w:val="0046442C"/>
    <w:rsid w:val="0046783B"/>
    <w:rsid w:val="00475400"/>
    <w:rsid w:val="00484A6C"/>
    <w:rsid w:val="004936CE"/>
    <w:rsid w:val="004A5301"/>
    <w:rsid w:val="004A55E2"/>
    <w:rsid w:val="004B6C00"/>
    <w:rsid w:val="004D48A5"/>
    <w:rsid w:val="004D4DA1"/>
    <w:rsid w:val="004F5E47"/>
    <w:rsid w:val="00504169"/>
    <w:rsid w:val="0051676F"/>
    <w:rsid w:val="005256CA"/>
    <w:rsid w:val="00525BBB"/>
    <w:rsid w:val="00531AE5"/>
    <w:rsid w:val="00533F7F"/>
    <w:rsid w:val="00533FB0"/>
    <w:rsid w:val="005372B4"/>
    <w:rsid w:val="00540170"/>
    <w:rsid w:val="00542305"/>
    <w:rsid w:val="00544B4B"/>
    <w:rsid w:val="00553441"/>
    <w:rsid w:val="00585E71"/>
    <w:rsid w:val="00592DAF"/>
    <w:rsid w:val="00593F66"/>
    <w:rsid w:val="0059553E"/>
    <w:rsid w:val="005A5982"/>
    <w:rsid w:val="005B2526"/>
    <w:rsid w:val="005D4AFD"/>
    <w:rsid w:val="005D5242"/>
    <w:rsid w:val="005D762D"/>
    <w:rsid w:val="005E1115"/>
    <w:rsid w:val="005E7F70"/>
    <w:rsid w:val="005F65CB"/>
    <w:rsid w:val="00604132"/>
    <w:rsid w:val="00612350"/>
    <w:rsid w:val="0061707B"/>
    <w:rsid w:val="00617086"/>
    <w:rsid w:val="00633438"/>
    <w:rsid w:val="00640837"/>
    <w:rsid w:val="00645F08"/>
    <w:rsid w:val="00650FE9"/>
    <w:rsid w:val="00657AE2"/>
    <w:rsid w:val="00660048"/>
    <w:rsid w:val="00661BED"/>
    <w:rsid w:val="00661C67"/>
    <w:rsid w:val="006705C3"/>
    <w:rsid w:val="0067470A"/>
    <w:rsid w:val="00681B7D"/>
    <w:rsid w:val="00683181"/>
    <w:rsid w:val="00683260"/>
    <w:rsid w:val="006873B9"/>
    <w:rsid w:val="006945A9"/>
    <w:rsid w:val="006A44EE"/>
    <w:rsid w:val="006A7B9A"/>
    <w:rsid w:val="006B33C7"/>
    <w:rsid w:val="006B79FD"/>
    <w:rsid w:val="006C45D8"/>
    <w:rsid w:val="006C7C61"/>
    <w:rsid w:val="006D4B10"/>
    <w:rsid w:val="006D54AC"/>
    <w:rsid w:val="006E58AB"/>
    <w:rsid w:val="006E60B2"/>
    <w:rsid w:val="006F11EA"/>
    <w:rsid w:val="006F7146"/>
    <w:rsid w:val="00700A1F"/>
    <w:rsid w:val="007116E5"/>
    <w:rsid w:val="007130AE"/>
    <w:rsid w:val="00721A01"/>
    <w:rsid w:val="00721A48"/>
    <w:rsid w:val="0074642E"/>
    <w:rsid w:val="007517E6"/>
    <w:rsid w:val="00752850"/>
    <w:rsid w:val="007532C9"/>
    <w:rsid w:val="007572C4"/>
    <w:rsid w:val="007671D0"/>
    <w:rsid w:val="007720A6"/>
    <w:rsid w:val="00777340"/>
    <w:rsid w:val="00784BAC"/>
    <w:rsid w:val="00797F8F"/>
    <w:rsid w:val="007A7345"/>
    <w:rsid w:val="007B1D56"/>
    <w:rsid w:val="007B496C"/>
    <w:rsid w:val="007C4D8A"/>
    <w:rsid w:val="007D5AC5"/>
    <w:rsid w:val="007E3A2C"/>
    <w:rsid w:val="007E6330"/>
    <w:rsid w:val="00800E00"/>
    <w:rsid w:val="00817FF2"/>
    <w:rsid w:val="00826495"/>
    <w:rsid w:val="008267C9"/>
    <w:rsid w:val="00834596"/>
    <w:rsid w:val="00844779"/>
    <w:rsid w:val="00856C6E"/>
    <w:rsid w:val="008601C3"/>
    <w:rsid w:val="00874D07"/>
    <w:rsid w:val="00884560"/>
    <w:rsid w:val="00893100"/>
    <w:rsid w:val="00893FB1"/>
    <w:rsid w:val="008942A8"/>
    <w:rsid w:val="008A27B4"/>
    <w:rsid w:val="008A6256"/>
    <w:rsid w:val="008B0E04"/>
    <w:rsid w:val="008B2D6D"/>
    <w:rsid w:val="008B6B85"/>
    <w:rsid w:val="008C1890"/>
    <w:rsid w:val="008C3F56"/>
    <w:rsid w:val="008C6B7C"/>
    <w:rsid w:val="008E116A"/>
    <w:rsid w:val="008E3EDC"/>
    <w:rsid w:val="008E55A6"/>
    <w:rsid w:val="008E77FC"/>
    <w:rsid w:val="008F6923"/>
    <w:rsid w:val="0091175D"/>
    <w:rsid w:val="0092007D"/>
    <w:rsid w:val="00930F28"/>
    <w:rsid w:val="00936C36"/>
    <w:rsid w:val="00943507"/>
    <w:rsid w:val="00943F04"/>
    <w:rsid w:val="00945358"/>
    <w:rsid w:val="00946DA0"/>
    <w:rsid w:val="00954B9C"/>
    <w:rsid w:val="009642F9"/>
    <w:rsid w:val="009657FD"/>
    <w:rsid w:val="00966935"/>
    <w:rsid w:val="00981B37"/>
    <w:rsid w:val="00982CEC"/>
    <w:rsid w:val="00986509"/>
    <w:rsid w:val="00990CC0"/>
    <w:rsid w:val="009A14B3"/>
    <w:rsid w:val="009B1B9D"/>
    <w:rsid w:val="009B24D6"/>
    <w:rsid w:val="009B4561"/>
    <w:rsid w:val="009B477C"/>
    <w:rsid w:val="009B49E8"/>
    <w:rsid w:val="009C6232"/>
    <w:rsid w:val="009E0609"/>
    <w:rsid w:val="009E0A2E"/>
    <w:rsid w:val="009E571D"/>
    <w:rsid w:val="009F5F6D"/>
    <w:rsid w:val="00A01B08"/>
    <w:rsid w:val="00A032FF"/>
    <w:rsid w:val="00A136A4"/>
    <w:rsid w:val="00A13AFD"/>
    <w:rsid w:val="00A249AD"/>
    <w:rsid w:val="00A2557C"/>
    <w:rsid w:val="00A43522"/>
    <w:rsid w:val="00A510B0"/>
    <w:rsid w:val="00A5617C"/>
    <w:rsid w:val="00A57A42"/>
    <w:rsid w:val="00A63B5F"/>
    <w:rsid w:val="00A800F4"/>
    <w:rsid w:val="00A85A4B"/>
    <w:rsid w:val="00AB1CAA"/>
    <w:rsid w:val="00AB716B"/>
    <w:rsid w:val="00AC22DC"/>
    <w:rsid w:val="00AD1BC8"/>
    <w:rsid w:val="00B03D60"/>
    <w:rsid w:val="00B04FC9"/>
    <w:rsid w:val="00B06500"/>
    <w:rsid w:val="00B100A7"/>
    <w:rsid w:val="00B379EF"/>
    <w:rsid w:val="00B44581"/>
    <w:rsid w:val="00B44889"/>
    <w:rsid w:val="00B455B9"/>
    <w:rsid w:val="00B5208C"/>
    <w:rsid w:val="00B52799"/>
    <w:rsid w:val="00B55290"/>
    <w:rsid w:val="00B6320C"/>
    <w:rsid w:val="00BA30B4"/>
    <w:rsid w:val="00BD249A"/>
    <w:rsid w:val="00BD4FB4"/>
    <w:rsid w:val="00BD72E8"/>
    <w:rsid w:val="00BE164F"/>
    <w:rsid w:val="00BF3C8B"/>
    <w:rsid w:val="00BF654C"/>
    <w:rsid w:val="00C01918"/>
    <w:rsid w:val="00C036FB"/>
    <w:rsid w:val="00C100AF"/>
    <w:rsid w:val="00C10139"/>
    <w:rsid w:val="00C17D18"/>
    <w:rsid w:val="00C253CE"/>
    <w:rsid w:val="00C36B0F"/>
    <w:rsid w:val="00C40AB5"/>
    <w:rsid w:val="00C4220B"/>
    <w:rsid w:val="00C5576E"/>
    <w:rsid w:val="00C75CAE"/>
    <w:rsid w:val="00C83B81"/>
    <w:rsid w:val="00C961D8"/>
    <w:rsid w:val="00C9656E"/>
    <w:rsid w:val="00C9725A"/>
    <w:rsid w:val="00C97637"/>
    <w:rsid w:val="00CA23CF"/>
    <w:rsid w:val="00CA6D6E"/>
    <w:rsid w:val="00CB6A0F"/>
    <w:rsid w:val="00CC0E9E"/>
    <w:rsid w:val="00CC15A0"/>
    <w:rsid w:val="00CE2BD9"/>
    <w:rsid w:val="00CE47F8"/>
    <w:rsid w:val="00CF4A84"/>
    <w:rsid w:val="00CF5B8F"/>
    <w:rsid w:val="00D00447"/>
    <w:rsid w:val="00D120AB"/>
    <w:rsid w:val="00D14A86"/>
    <w:rsid w:val="00D17534"/>
    <w:rsid w:val="00D175B6"/>
    <w:rsid w:val="00D179DA"/>
    <w:rsid w:val="00D30FF1"/>
    <w:rsid w:val="00D33477"/>
    <w:rsid w:val="00D3353B"/>
    <w:rsid w:val="00D41B05"/>
    <w:rsid w:val="00D429F9"/>
    <w:rsid w:val="00D47082"/>
    <w:rsid w:val="00D47186"/>
    <w:rsid w:val="00D57FF9"/>
    <w:rsid w:val="00D7521B"/>
    <w:rsid w:val="00D963E6"/>
    <w:rsid w:val="00DB1240"/>
    <w:rsid w:val="00DB548B"/>
    <w:rsid w:val="00DB5A6E"/>
    <w:rsid w:val="00DB67BB"/>
    <w:rsid w:val="00DC0288"/>
    <w:rsid w:val="00DC25EF"/>
    <w:rsid w:val="00DC34E5"/>
    <w:rsid w:val="00DD6D33"/>
    <w:rsid w:val="00DE07DF"/>
    <w:rsid w:val="00DE2582"/>
    <w:rsid w:val="00DE44C2"/>
    <w:rsid w:val="00DE652B"/>
    <w:rsid w:val="00DE732F"/>
    <w:rsid w:val="00DE73A2"/>
    <w:rsid w:val="00DE784B"/>
    <w:rsid w:val="00DF18C3"/>
    <w:rsid w:val="00DF296F"/>
    <w:rsid w:val="00DF38F5"/>
    <w:rsid w:val="00DF6F6A"/>
    <w:rsid w:val="00DF768A"/>
    <w:rsid w:val="00E060B7"/>
    <w:rsid w:val="00E11DF1"/>
    <w:rsid w:val="00E210E9"/>
    <w:rsid w:val="00E268DE"/>
    <w:rsid w:val="00E331E7"/>
    <w:rsid w:val="00E44C9D"/>
    <w:rsid w:val="00E66355"/>
    <w:rsid w:val="00E67876"/>
    <w:rsid w:val="00E8251D"/>
    <w:rsid w:val="00E8489C"/>
    <w:rsid w:val="00E87C1C"/>
    <w:rsid w:val="00E9200E"/>
    <w:rsid w:val="00EA369F"/>
    <w:rsid w:val="00EB78A1"/>
    <w:rsid w:val="00EC004A"/>
    <w:rsid w:val="00EC780D"/>
    <w:rsid w:val="00ED7678"/>
    <w:rsid w:val="00EF2CE5"/>
    <w:rsid w:val="00F0382A"/>
    <w:rsid w:val="00F07632"/>
    <w:rsid w:val="00F12280"/>
    <w:rsid w:val="00F150FA"/>
    <w:rsid w:val="00F21BC8"/>
    <w:rsid w:val="00F30116"/>
    <w:rsid w:val="00F326F5"/>
    <w:rsid w:val="00F3372C"/>
    <w:rsid w:val="00F379AD"/>
    <w:rsid w:val="00F44601"/>
    <w:rsid w:val="00F5214B"/>
    <w:rsid w:val="00F66E9B"/>
    <w:rsid w:val="00F707BC"/>
    <w:rsid w:val="00F85A3C"/>
    <w:rsid w:val="00F903B8"/>
    <w:rsid w:val="00FA3BF4"/>
    <w:rsid w:val="00FB3B9B"/>
    <w:rsid w:val="00FB6B92"/>
    <w:rsid w:val="00FD1CCA"/>
    <w:rsid w:val="00FD384E"/>
    <w:rsid w:val="00FE359B"/>
    <w:rsid w:val="00FF2602"/>
    <w:rsid w:val="00FF31BD"/>
    <w:rsid w:val="00FF4DE7"/>
    <w:rsid w:val="00FF51B5"/>
    <w:rsid w:val="00FF7E8F"/>
    <w:rsid w:val="17BD1CDB"/>
    <w:rsid w:val="2DFCC27E"/>
    <w:rsid w:val="39BC068C"/>
    <w:rsid w:val="3FF4CBFD"/>
    <w:rsid w:val="4D7E75F4"/>
    <w:rsid w:val="4FD68ECA"/>
    <w:rsid w:val="4FFC616B"/>
    <w:rsid w:val="557EE02B"/>
    <w:rsid w:val="5C7655A6"/>
    <w:rsid w:val="63FF12A8"/>
    <w:rsid w:val="69FF67EA"/>
    <w:rsid w:val="6DB9C88E"/>
    <w:rsid w:val="6F7FE6C2"/>
    <w:rsid w:val="6F8B5C34"/>
    <w:rsid w:val="757D807F"/>
    <w:rsid w:val="76ED05D1"/>
    <w:rsid w:val="78FEDB5E"/>
    <w:rsid w:val="79FF4F4D"/>
    <w:rsid w:val="7B78F6B8"/>
    <w:rsid w:val="7E5DDE5A"/>
    <w:rsid w:val="7EE72846"/>
    <w:rsid w:val="7EF6F616"/>
    <w:rsid w:val="7F7D7B3B"/>
    <w:rsid w:val="7FD3D14E"/>
    <w:rsid w:val="7FF9DA69"/>
    <w:rsid w:val="7FFE7ADF"/>
    <w:rsid w:val="B1F9555A"/>
    <w:rsid w:val="BE3FC615"/>
    <w:rsid w:val="BF174DD0"/>
    <w:rsid w:val="DCFB9F41"/>
    <w:rsid w:val="E77E90B1"/>
    <w:rsid w:val="E7BB006B"/>
    <w:rsid w:val="EAA5F213"/>
    <w:rsid w:val="EB5F2895"/>
    <w:rsid w:val="EBF84043"/>
    <w:rsid w:val="EEEE782D"/>
    <w:rsid w:val="F6CC6C09"/>
    <w:rsid w:val="F77D3908"/>
    <w:rsid w:val="F7D66E94"/>
    <w:rsid w:val="F96AC53D"/>
    <w:rsid w:val="F9FD3ECA"/>
    <w:rsid w:val="FBEBE868"/>
    <w:rsid w:val="FBF507B9"/>
    <w:rsid w:val="FF6756DF"/>
    <w:rsid w:val="FFF4C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2"/>
    <w:basedOn w:val="1"/>
    <w:next w:val="1"/>
    <w:link w:val="49"/>
    <w:qFormat/>
    <w:uiPriority w:val="0"/>
    <w:pPr>
      <w:keepNext/>
      <w:keepLines/>
      <w:spacing w:before="260" w:after="260" w:line="416" w:lineRule="auto"/>
      <w:outlineLvl w:val="1"/>
    </w:pPr>
    <w:rPr>
      <w:rFonts w:ascii="等线 Light" w:hAnsi="等线 Light" w:eastAsia="等线 Light"/>
      <w:b/>
      <w:bCs/>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unhideWhenUsed/>
    <w:qFormat/>
    <w:uiPriority w:val="99"/>
    <w:pPr>
      <w:ind w:firstLine="420" w:firstLineChars="200"/>
    </w:pPr>
  </w:style>
  <w:style w:type="paragraph" w:styleId="3">
    <w:name w:val="Date"/>
    <w:basedOn w:val="1"/>
    <w:next w:val="1"/>
    <w:qFormat/>
    <w:uiPriority w:val="0"/>
    <w:pPr>
      <w:ind w:left="100" w:leftChars="2500"/>
    </w:pPr>
  </w:style>
  <w:style w:type="paragraph" w:styleId="5">
    <w:name w:val="Document Map"/>
    <w:basedOn w:val="1"/>
    <w:link w:val="52"/>
    <w:qFormat/>
    <w:uiPriority w:val="0"/>
    <w:pPr>
      <w:shd w:val="clear" w:color="auto" w:fill="000080"/>
      <w:spacing w:after="160" w:line="278" w:lineRule="auto"/>
    </w:pPr>
    <w:rPr>
      <w:rFonts w:eastAsia="方正仿宋_GBK"/>
      <w:szCs w:val="32"/>
    </w:rPr>
  </w:style>
  <w:style w:type="paragraph" w:styleId="6">
    <w:name w:val="annotation text"/>
    <w:basedOn w:val="1"/>
    <w:link w:val="50"/>
    <w:qFormat/>
    <w:uiPriority w:val="0"/>
    <w:pPr>
      <w:jc w:val="left"/>
    </w:pPr>
  </w:style>
  <w:style w:type="paragraph" w:styleId="7">
    <w:name w:val="Body Text"/>
    <w:basedOn w:val="1"/>
    <w:next w:val="1"/>
    <w:qFormat/>
    <w:uiPriority w:val="0"/>
    <w:pPr>
      <w:spacing w:after="120"/>
    </w:pPr>
  </w:style>
  <w:style w:type="paragraph" w:styleId="8">
    <w:name w:val="Body Text Indent"/>
    <w:basedOn w:val="1"/>
    <w:link w:val="53"/>
    <w:qFormat/>
    <w:uiPriority w:val="0"/>
    <w:pPr>
      <w:spacing w:after="120"/>
      <w:ind w:left="420" w:leftChars="200"/>
    </w:pPr>
  </w:style>
  <w:style w:type="paragraph" w:styleId="9">
    <w:name w:val="Plain Text"/>
    <w:basedOn w:val="1"/>
    <w:link w:val="78"/>
    <w:qFormat/>
    <w:uiPriority w:val="0"/>
    <w:rPr>
      <w:rFonts w:ascii="宋体" w:hAnsi="Courier New" w:eastAsia="宋体" w:cs="Courier New"/>
      <w:sz w:val="21"/>
      <w:szCs w:val="21"/>
    </w:rPr>
  </w:style>
  <w:style w:type="paragraph" w:styleId="10">
    <w:name w:val="Body Text Indent 2"/>
    <w:basedOn w:val="1"/>
    <w:link w:val="54"/>
    <w:qFormat/>
    <w:uiPriority w:val="0"/>
    <w:pPr>
      <w:spacing w:after="120" w:line="480" w:lineRule="auto"/>
      <w:ind w:left="420" w:leftChars="200"/>
    </w:pPr>
  </w:style>
  <w:style w:type="paragraph" w:styleId="11">
    <w:name w:val="Balloon Text"/>
    <w:basedOn w:val="1"/>
    <w:link w:val="55"/>
    <w:qFormat/>
    <w:uiPriority w:val="0"/>
    <w:rPr>
      <w:sz w:val="18"/>
      <w:szCs w:val="18"/>
    </w:rPr>
  </w:style>
  <w:style w:type="paragraph" w:styleId="12">
    <w:name w:val="footer"/>
    <w:basedOn w:val="1"/>
    <w:link w:val="25"/>
    <w:qFormat/>
    <w:uiPriority w:val="99"/>
    <w:pPr>
      <w:tabs>
        <w:tab w:val="center" w:pos="4153"/>
        <w:tab w:val="right" w:pos="8306"/>
      </w:tabs>
      <w:snapToGrid w:val="0"/>
      <w:jc w:val="left"/>
    </w:pPr>
    <w:rPr>
      <w:sz w:val="18"/>
      <w:szCs w:val="18"/>
    </w:rPr>
  </w:style>
  <w:style w:type="paragraph" w:styleId="13">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ind w:firstLine="632"/>
    </w:pPr>
    <w:rPr>
      <w:rFonts w:ascii="仿宋_GB2312" w:hAnsi="华文仿宋"/>
      <w:color w:val="000000"/>
      <w:szCs w:val="20"/>
    </w:rPr>
  </w:style>
  <w:style w:type="paragraph" w:styleId="15">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6">
    <w:name w:val="annotation subject"/>
    <w:basedOn w:val="6"/>
    <w:next w:val="6"/>
    <w:link w:val="51"/>
    <w:qFormat/>
    <w:uiPriority w:val="0"/>
    <w:pPr>
      <w:spacing w:after="160" w:line="278" w:lineRule="auto"/>
    </w:pPr>
    <w:rPr>
      <w:rFonts w:eastAsia="方正仿宋_GBK"/>
      <w:b/>
      <w:bCs/>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0"/>
  </w:style>
  <w:style w:type="character" w:styleId="22">
    <w:name w:val="HTML Typewriter"/>
    <w:qFormat/>
    <w:uiPriority w:val="0"/>
    <w:rPr>
      <w:rFonts w:ascii="宋体" w:hAnsi="宋体" w:eastAsia="宋体" w:cs="宋体"/>
      <w:sz w:val="24"/>
      <w:szCs w:val="24"/>
    </w:rPr>
  </w:style>
  <w:style w:type="character" w:styleId="23">
    <w:name w:val="Hyperlink"/>
    <w:basedOn w:val="19"/>
    <w:qFormat/>
    <w:uiPriority w:val="0"/>
    <w:rPr>
      <w:color w:val="0563C1" w:themeColor="hyperlink"/>
      <w:u w:val="single"/>
      <w14:textFill>
        <w14:solidFill>
          <w14:schemeClr w14:val="hlink"/>
        </w14:solidFill>
      </w14:textFill>
    </w:rPr>
  </w:style>
  <w:style w:type="character" w:styleId="24">
    <w:name w:val="annotation reference"/>
    <w:qFormat/>
    <w:uiPriority w:val="0"/>
    <w:rPr>
      <w:sz w:val="21"/>
      <w:szCs w:val="21"/>
    </w:rPr>
  </w:style>
  <w:style w:type="character" w:customStyle="1" w:styleId="25">
    <w:name w:val="页脚 Char"/>
    <w:link w:val="12"/>
    <w:qFormat/>
    <w:uiPriority w:val="99"/>
    <w:rPr>
      <w:rFonts w:eastAsia="仿宋_GB2312"/>
      <w:kern w:val="2"/>
      <w:sz w:val="18"/>
      <w:szCs w:val="18"/>
    </w:rPr>
  </w:style>
  <w:style w:type="paragraph" w:customStyle="1" w:styleId="26">
    <w:name w:val="样式1"/>
    <w:basedOn w:val="1"/>
    <w:qFormat/>
    <w:uiPriority w:val="0"/>
    <w:pPr>
      <w:ind w:firstLine="602" w:firstLineChars="200"/>
    </w:pPr>
    <w:rPr>
      <w:rFonts w:ascii="仿宋" w:hAnsi="仿宋" w:eastAsia="仿宋"/>
      <w:sz w:val="30"/>
      <w:szCs w:val="30"/>
    </w:rPr>
  </w:style>
  <w:style w:type="paragraph" w:customStyle="1" w:styleId="27">
    <w:name w:val="正文-公1"/>
    <w:basedOn w:val="1"/>
    <w:next w:val="1"/>
    <w:qFormat/>
    <w:uiPriority w:val="0"/>
    <w:pPr>
      <w:ind w:firstLine="200" w:firstLineChars="200"/>
      <w:jc w:val="left"/>
    </w:pPr>
    <w:rPr>
      <w:rFonts w:eastAsia="仿宋_GB2312"/>
    </w:rPr>
  </w:style>
  <w:style w:type="paragraph" w:customStyle="1" w:styleId="28">
    <w:name w:val="Char Char"/>
    <w:basedOn w:val="1"/>
    <w:qFormat/>
    <w:uiPriority w:val="0"/>
    <w:rPr>
      <w:rFonts w:ascii="Tahoma" w:hAnsi="Tahoma" w:eastAsia="宋体"/>
      <w:sz w:val="24"/>
      <w:szCs w:val="20"/>
    </w:rPr>
  </w:style>
  <w:style w:type="paragraph" w:customStyle="1" w:styleId="29">
    <w:name w:val="_Style 10"/>
    <w:basedOn w:val="1"/>
    <w:next w:val="7"/>
    <w:qFormat/>
    <w:uiPriority w:val="0"/>
    <w:rPr>
      <w:rFonts w:eastAsia="宋体"/>
      <w:sz w:val="28"/>
      <w:szCs w:val="20"/>
    </w:rPr>
  </w:style>
  <w:style w:type="paragraph" w:customStyle="1" w:styleId="30">
    <w:name w:val="Char Char1"/>
    <w:basedOn w:val="1"/>
    <w:qFormat/>
    <w:uiPriority w:val="0"/>
    <w:pPr>
      <w:widowControl/>
      <w:spacing w:after="160" w:line="240" w:lineRule="exact"/>
      <w:jc w:val="left"/>
    </w:pPr>
    <w:rPr>
      <w:rFonts w:ascii="Verdana" w:hAnsi="Verdana" w:eastAsia="宋体"/>
      <w:kern w:val="0"/>
      <w:sz w:val="20"/>
      <w:szCs w:val="20"/>
      <w:lang w:eastAsia="en-US"/>
    </w:rPr>
  </w:style>
  <w:style w:type="paragraph" w:styleId="31">
    <w:name w:val="List Paragraph"/>
    <w:basedOn w:val="1"/>
    <w:qFormat/>
    <w:uiPriority w:val="99"/>
    <w:pPr>
      <w:ind w:firstLine="420" w:firstLineChars="200"/>
    </w:pPr>
    <w:rPr>
      <w:rFonts w:ascii="Calibri" w:hAnsi="Calibri" w:eastAsia="宋体"/>
      <w:sz w:val="21"/>
      <w:szCs w:val="22"/>
    </w:rPr>
  </w:style>
  <w:style w:type="paragraph" w:customStyle="1" w:styleId="32">
    <w:name w:val="Char"/>
    <w:basedOn w:val="1"/>
    <w:qFormat/>
    <w:uiPriority w:val="0"/>
    <w:pPr>
      <w:widowControl/>
      <w:spacing w:after="160" w:line="240" w:lineRule="exact"/>
      <w:ind w:firstLine="420" w:firstLineChars="200"/>
      <w:jc w:val="left"/>
    </w:pPr>
    <w:rPr>
      <w:szCs w:val="20"/>
    </w:rPr>
  </w:style>
  <w:style w:type="paragraph" w:customStyle="1" w:styleId="33">
    <w:name w:val="_Style 9"/>
    <w:basedOn w:val="1"/>
    <w:qFormat/>
    <w:uiPriority w:val="0"/>
    <w:rPr>
      <w:rFonts w:eastAsia="宋体"/>
      <w:sz w:val="21"/>
    </w:rPr>
  </w:style>
  <w:style w:type="paragraph" w:customStyle="1" w:styleId="34">
    <w:name w:val="Char Char Char Char Char Char Char Char Char Char Char Char Char"/>
    <w:basedOn w:val="1"/>
    <w:qFormat/>
    <w:uiPriority w:val="0"/>
    <w:pPr>
      <w:widowControl/>
      <w:spacing w:after="160" w:line="240" w:lineRule="exact"/>
      <w:jc w:val="left"/>
    </w:pPr>
    <w:rPr>
      <w:rFonts w:ascii="Verdana" w:hAnsi="Verdana" w:eastAsia="宋体"/>
      <w:kern w:val="0"/>
      <w:sz w:val="18"/>
      <w:szCs w:val="20"/>
      <w:lang w:eastAsia="en-US"/>
    </w:rPr>
  </w:style>
  <w:style w:type="paragraph" w:customStyle="1" w:styleId="35">
    <w:name w:val="_Style 4"/>
    <w:basedOn w:val="1"/>
    <w:qFormat/>
    <w:uiPriority w:val="0"/>
    <w:pPr>
      <w:widowControl/>
      <w:spacing w:after="160" w:line="240" w:lineRule="exact"/>
      <w:jc w:val="left"/>
    </w:pPr>
    <w:rPr>
      <w:rFonts w:eastAsia="宋体"/>
      <w:sz w:val="21"/>
    </w:rPr>
  </w:style>
  <w:style w:type="paragraph" w:customStyle="1" w:styleId="36">
    <w:name w:val="List Paragraph1"/>
    <w:basedOn w:val="1"/>
    <w:qFormat/>
    <w:uiPriority w:val="0"/>
    <w:pPr>
      <w:ind w:firstLine="420" w:firstLineChars="200"/>
    </w:pPr>
    <w:rPr>
      <w:rFonts w:ascii="Calibri" w:hAnsi="Calibri" w:eastAsia="宋体"/>
      <w:sz w:val="21"/>
      <w:szCs w:val="22"/>
    </w:rPr>
  </w:style>
  <w:style w:type="paragraph" w:customStyle="1" w:styleId="37">
    <w:name w:val="Char Char1 Char Char Char Char Char Char Char"/>
    <w:basedOn w:val="1"/>
    <w:qFormat/>
    <w:uiPriority w:val="0"/>
    <w:pPr>
      <w:widowControl/>
      <w:spacing w:after="160" w:line="240" w:lineRule="exact"/>
      <w:jc w:val="left"/>
    </w:pPr>
    <w:rPr>
      <w:rFonts w:ascii="Tahoma" w:hAnsi="Tahoma" w:eastAsia="Times New Roman" w:cs="Tahoma"/>
      <w:spacing w:val="-5"/>
      <w:kern w:val="0"/>
      <w:sz w:val="20"/>
      <w:szCs w:val="20"/>
      <w:lang w:eastAsia="en-US"/>
    </w:rPr>
  </w:style>
  <w:style w:type="character" w:customStyle="1" w:styleId="38">
    <w:name w:val="Hei Ti"/>
    <w:qFormat/>
    <w:uiPriority w:val="0"/>
    <w:rPr>
      <w:rFonts w:ascii="黑体" w:hAnsi="黑体" w:eastAsia="黑体" w:cs="黑体"/>
      <w:sz w:val="32"/>
    </w:rPr>
  </w:style>
  <w:style w:type="character" w:customStyle="1" w:styleId="39">
    <w:name w:val="Hei Ti Bold"/>
    <w:qFormat/>
    <w:uiPriority w:val="0"/>
    <w:rPr>
      <w:rFonts w:ascii="黑体" w:hAnsi="黑体" w:eastAsia="黑体" w:cs="黑体"/>
      <w:b/>
      <w:sz w:val="32"/>
    </w:rPr>
  </w:style>
  <w:style w:type="character" w:customStyle="1" w:styleId="40">
    <w:name w:val="Hei Ti Bold1"/>
    <w:qFormat/>
    <w:uiPriority w:val="0"/>
    <w:rPr>
      <w:rFonts w:ascii="黑体" w:hAnsi="黑体" w:eastAsia="黑体" w:cs="黑体"/>
      <w:b/>
      <w:sz w:val="36"/>
    </w:rPr>
  </w:style>
  <w:style w:type="character" w:customStyle="1" w:styleId="41">
    <w:name w:val="GB_2312"/>
    <w:qFormat/>
    <w:uiPriority w:val="0"/>
    <w:rPr>
      <w:rFonts w:ascii="仿宋_GB2312" w:hAnsi="仿宋_GB2312" w:eastAsia="仿宋_GB2312" w:cs="仿宋_GB2312"/>
      <w:sz w:val="32"/>
    </w:rPr>
  </w:style>
  <w:style w:type="character" w:customStyle="1" w:styleId="42">
    <w:name w:val="GB_23121"/>
    <w:qFormat/>
    <w:uiPriority w:val="0"/>
    <w:rPr>
      <w:rFonts w:ascii="仿宋_GB2312" w:hAnsi="仿宋_GB2312" w:eastAsia="仿宋_GB2312" w:cs="仿宋_GB2312"/>
      <w:sz w:val="36"/>
    </w:rPr>
  </w:style>
  <w:style w:type="character" w:customStyle="1" w:styleId="43">
    <w:name w:val="Red_Color"/>
    <w:qFormat/>
    <w:uiPriority w:val="0"/>
    <w:rPr>
      <w:rFonts w:ascii="方正小标宋简体" w:hAnsi="方正小标宋简体" w:eastAsia="方正小标宋简体" w:cs="方正小标宋简体"/>
      <w:color w:val="000000"/>
      <w:sz w:val="65"/>
    </w:rPr>
  </w:style>
  <w:style w:type="character" w:customStyle="1" w:styleId="44">
    <w:name w:val="KaiTi"/>
    <w:qFormat/>
    <w:uiPriority w:val="0"/>
    <w:rPr>
      <w:rFonts w:ascii="楷体_GB2312" w:hAnsi="楷体_GB2312" w:eastAsia="楷体_GB2312" w:cs="楷体_GB2312"/>
      <w:sz w:val="32"/>
    </w:rPr>
  </w:style>
  <w:style w:type="character" w:customStyle="1" w:styleId="45">
    <w:name w:val="Fz_Xbs"/>
    <w:qFormat/>
    <w:uiPriority w:val="0"/>
    <w:rPr>
      <w:rFonts w:ascii="方正小标宋简体" w:hAnsi="方正小标宋简体" w:eastAsia="方正小标宋简体" w:cs="方正小标宋简体"/>
      <w:sz w:val="44"/>
    </w:rPr>
  </w:style>
  <w:style w:type="paragraph" w:customStyle="1" w:styleId="46">
    <w:name w:val="修订1"/>
    <w:hidden/>
    <w:unhideWhenUsed/>
    <w:qFormat/>
    <w:uiPriority w:val="99"/>
    <w:rPr>
      <w:rFonts w:ascii="Times New Roman" w:hAnsi="Times New Roman" w:eastAsia="仿宋_GB2312" w:cs="Times New Roman"/>
      <w:kern w:val="2"/>
      <w:sz w:val="32"/>
      <w:szCs w:val="24"/>
      <w:lang w:val="en-US" w:eastAsia="zh-CN" w:bidi="ar-SA"/>
    </w:rPr>
  </w:style>
  <w:style w:type="character" w:customStyle="1" w:styleId="47">
    <w:name w:val="Unresolved Mention"/>
    <w:basedOn w:val="19"/>
    <w:semiHidden/>
    <w:unhideWhenUsed/>
    <w:qFormat/>
    <w:uiPriority w:val="99"/>
    <w:rPr>
      <w:color w:val="605E5C"/>
      <w:shd w:val="clear" w:color="auto" w:fill="E1DFDD"/>
    </w:rPr>
  </w:style>
  <w:style w:type="character" w:customStyle="1" w:styleId="48">
    <w:name w:val="页眉 Char"/>
    <w:link w:val="13"/>
    <w:qFormat/>
    <w:uiPriority w:val="0"/>
    <w:rPr>
      <w:rFonts w:eastAsia="仿宋_GB2312"/>
      <w:kern w:val="2"/>
      <w:sz w:val="18"/>
      <w:szCs w:val="18"/>
    </w:rPr>
  </w:style>
  <w:style w:type="character" w:customStyle="1" w:styleId="49">
    <w:name w:val="标题 2 Char"/>
    <w:basedOn w:val="19"/>
    <w:link w:val="4"/>
    <w:qFormat/>
    <w:uiPriority w:val="0"/>
    <w:rPr>
      <w:rFonts w:ascii="等线 Light" w:hAnsi="等线 Light" w:eastAsia="等线 Light"/>
      <w:b/>
      <w:bCs/>
      <w:kern w:val="2"/>
      <w:sz w:val="32"/>
      <w:szCs w:val="32"/>
    </w:rPr>
  </w:style>
  <w:style w:type="character" w:customStyle="1" w:styleId="50">
    <w:name w:val="批注文字 Char"/>
    <w:basedOn w:val="19"/>
    <w:link w:val="6"/>
    <w:qFormat/>
    <w:uiPriority w:val="0"/>
    <w:rPr>
      <w:rFonts w:eastAsia="仿宋_GB2312"/>
      <w:kern w:val="2"/>
      <w:sz w:val="32"/>
      <w:szCs w:val="24"/>
    </w:rPr>
  </w:style>
  <w:style w:type="character" w:customStyle="1" w:styleId="51">
    <w:name w:val="批注主题 Char"/>
    <w:basedOn w:val="50"/>
    <w:link w:val="16"/>
    <w:qFormat/>
    <w:uiPriority w:val="0"/>
    <w:rPr>
      <w:rFonts w:eastAsia="方正仿宋_GBK"/>
      <w:b/>
      <w:bCs/>
      <w:kern w:val="2"/>
      <w:sz w:val="32"/>
      <w:szCs w:val="32"/>
    </w:rPr>
  </w:style>
  <w:style w:type="character" w:customStyle="1" w:styleId="52">
    <w:name w:val="文档结构图 Char"/>
    <w:basedOn w:val="19"/>
    <w:link w:val="5"/>
    <w:qFormat/>
    <w:uiPriority w:val="0"/>
    <w:rPr>
      <w:rFonts w:eastAsia="方正仿宋_GBK"/>
      <w:kern w:val="2"/>
      <w:sz w:val="32"/>
      <w:szCs w:val="32"/>
      <w:shd w:val="clear" w:color="auto" w:fill="000080"/>
    </w:rPr>
  </w:style>
  <w:style w:type="character" w:customStyle="1" w:styleId="53">
    <w:name w:val="正文文本缩进 Char"/>
    <w:link w:val="8"/>
    <w:qFormat/>
    <w:uiPriority w:val="0"/>
    <w:rPr>
      <w:rFonts w:eastAsia="仿宋_GB2312"/>
      <w:kern w:val="2"/>
      <w:sz w:val="32"/>
      <w:szCs w:val="24"/>
    </w:rPr>
  </w:style>
  <w:style w:type="character" w:customStyle="1" w:styleId="54">
    <w:name w:val="正文文本缩进 2 Char"/>
    <w:link w:val="10"/>
    <w:qFormat/>
    <w:uiPriority w:val="0"/>
    <w:rPr>
      <w:rFonts w:eastAsia="仿宋_GB2312"/>
      <w:kern w:val="2"/>
      <w:sz w:val="32"/>
      <w:szCs w:val="24"/>
    </w:rPr>
  </w:style>
  <w:style w:type="character" w:customStyle="1" w:styleId="55">
    <w:name w:val="批注框文本 Char"/>
    <w:link w:val="11"/>
    <w:qFormat/>
    <w:uiPriority w:val="0"/>
    <w:rPr>
      <w:rFonts w:eastAsia="仿宋_GB2312"/>
      <w:kern w:val="2"/>
      <w:sz w:val="18"/>
      <w:szCs w:val="18"/>
    </w:rPr>
  </w:style>
  <w:style w:type="paragraph" w:customStyle="1" w:styleId="56">
    <w:name w:val="列出段落1"/>
    <w:basedOn w:val="1"/>
    <w:qFormat/>
    <w:uiPriority w:val="34"/>
    <w:pPr>
      <w:spacing w:after="160" w:line="278" w:lineRule="auto"/>
      <w:ind w:firstLine="420" w:firstLineChars="200"/>
    </w:pPr>
    <w:rPr>
      <w:rFonts w:ascii="Calibri" w:hAnsi="Calibri" w:eastAsia="宋体"/>
      <w:sz w:val="21"/>
      <w:szCs w:val="22"/>
    </w:rPr>
  </w:style>
  <w:style w:type="paragraph" w:customStyle="1" w:styleId="57">
    <w:name w:val="Default"/>
    <w:qFormat/>
    <w:uiPriority w:val="0"/>
    <w:pPr>
      <w:widowControl w:val="0"/>
      <w:autoSpaceDE w:val="0"/>
      <w:autoSpaceDN w:val="0"/>
      <w:adjustRightInd w:val="0"/>
      <w:spacing w:after="160" w:line="278" w:lineRule="auto"/>
    </w:pPr>
    <w:rPr>
      <w:rFonts w:hint="eastAsia" w:ascii="方正小标宋_GBK" w:hAnsi="方正小标宋_GBK" w:eastAsia="方正小标宋_GBK" w:cs="Times New Roman"/>
      <w:color w:val="000000"/>
      <w:sz w:val="24"/>
      <w:szCs w:val="22"/>
      <w:lang w:val="en-US" w:eastAsia="zh-CN" w:bidi="ar-SA"/>
    </w:rPr>
  </w:style>
  <w:style w:type="paragraph" w:customStyle="1" w:styleId="58">
    <w:name w:val="Char Char Char Char Char Char Char Char"/>
    <w:basedOn w:val="1"/>
    <w:qFormat/>
    <w:uiPriority w:val="0"/>
    <w:pPr>
      <w:widowControl/>
      <w:spacing w:after="160" w:line="240" w:lineRule="exact"/>
      <w:jc w:val="left"/>
    </w:pPr>
    <w:rPr>
      <w:rFonts w:eastAsia="宋体"/>
      <w:sz w:val="21"/>
      <w:szCs w:val="21"/>
    </w:rPr>
  </w:style>
  <w:style w:type="character" w:customStyle="1" w:styleId="59">
    <w:name w:val="未处理的提及1"/>
    <w:unhideWhenUsed/>
    <w:qFormat/>
    <w:uiPriority w:val="99"/>
    <w:rPr>
      <w:color w:val="605E5C"/>
      <w:shd w:val="clear" w:color="auto" w:fill="E1DFDD"/>
    </w:rPr>
  </w:style>
  <w:style w:type="character" w:customStyle="1" w:styleId="60">
    <w:name w:val="navtiao"/>
    <w:qFormat/>
    <w:uiPriority w:val="0"/>
    <w:rPr>
      <w:b/>
      <w:bCs/>
    </w:rPr>
  </w:style>
  <w:style w:type="paragraph" w:customStyle="1" w:styleId="61">
    <w:name w:val="Plain Text1"/>
    <w:basedOn w:val="1"/>
    <w:qFormat/>
    <w:uiPriority w:val="0"/>
    <w:pPr>
      <w:widowControl/>
      <w:spacing w:after="160" w:line="278" w:lineRule="auto"/>
      <w:jc w:val="left"/>
    </w:pPr>
    <w:rPr>
      <w:rFonts w:ascii="宋体" w:hAnsi="Courier New" w:eastAsia="宋体" w:cs="Courier New"/>
      <w:kern w:val="0"/>
      <w:sz w:val="24"/>
      <w:szCs w:val="21"/>
    </w:rPr>
  </w:style>
  <w:style w:type="paragraph" w:customStyle="1" w:styleId="62">
    <w:name w:val="sect2content1"/>
    <w:basedOn w:val="1"/>
    <w:qFormat/>
    <w:uiPriority w:val="0"/>
    <w:pPr>
      <w:widowControl/>
      <w:spacing w:before="100" w:beforeAutospacing="1" w:after="100" w:afterAutospacing="1" w:line="278" w:lineRule="auto"/>
      <w:jc w:val="left"/>
    </w:pPr>
    <w:rPr>
      <w:rFonts w:ascii="宋体" w:hAnsi="宋体" w:eastAsia="宋体" w:cs="宋体"/>
      <w:kern w:val="0"/>
      <w:sz w:val="24"/>
    </w:rPr>
  </w:style>
  <w:style w:type="paragraph" w:customStyle="1" w:styleId="63">
    <w:name w:val="正文 A"/>
    <w:next w:val="12"/>
    <w:qFormat/>
    <w:uiPriority w:val="0"/>
    <w:pPr>
      <w:spacing w:after="160" w:line="278" w:lineRule="auto"/>
    </w:pPr>
    <w:rPr>
      <w:rFonts w:ascii="宋体" w:hAnsi="宋体" w:eastAsia="宋体" w:cs="宋体"/>
      <w:color w:val="000000"/>
      <w:sz w:val="24"/>
      <w:szCs w:val="24"/>
      <w:lang w:val="en-US" w:eastAsia="zh-CN" w:bidi="ar-SA"/>
    </w:rPr>
  </w:style>
  <w:style w:type="character" w:customStyle="1" w:styleId="64">
    <w:name w:val="无"/>
    <w:qFormat/>
    <w:uiPriority w:val="0"/>
  </w:style>
  <w:style w:type="character" w:customStyle="1" w:styleId="65">
    <w:name w:val="Hyperlink.0"/>
    <w:qFormat/>
    <w:uiPriority w:val="0"/>
    <w:rPr>
      <w:lang w:val="zh-TW" w:eastAsia="zh-TW"/>
    </w:rPr>
  </w:style>
  <w:style w:type="paragraph" w:customStyle="1" w:styleId="66">
    <w:name w:val="修订11"/>
    <w:unhideWhenUsed/>
    <w:qFormat/>
    <w:uiPriority w:val="99"/>
    <w:pPr>
      <w:spacing w:after="160" w:line="278" w:lineRule="auto"/>
    </w:pPr>
    <w:rPr>
      <w:rFonts w:ascii="Times New Roman" w:hAnsi="Times New Roman" w:eastAsia="方正仿宋_GBK" w:cs="Times New Roman"/>
      <w:kern w:val="2"/>
      <w:sz w:val="32"/>
      <w:szCs w:val="32"/>
      <w:lang w:val="en-US" w:eastAsia="zh-CN" w:bidi="ar-SA"/>
    </w:rPr>
  </w:style>
  <w:style w:type="character" w:customStyle="1" w:styleId="67">
    <w:name w:val="highlight"/>
    <w:qFormat/>
    <w:uiPriority w:val="0"/>
  </w:style>
  <w:style w:type="character" w:customStyle="1" w:styleId="68">
    <w:name w:val="sect2title"/>
    <w:basedOn w:val="19"/>
    <w:qFormat/>
    <w:uiPriority w:val="0"/>
  </w:style>
  <w:style w:type="character" w:customStyle="1" w:styleId="69">
    <w:name w:val="sect2content"/>
    <w:basedOn w:val="19"/>
    <w:qFormat/>
    <w:uiPriority w:val="0"/>
  </w:style>
  <w:style w:type="paragraph" w:customStyle="1" w:styleId="70">
    <w:name w:val="修订2"/>
    <w:hidden/>
    <w:unhideWhenUsed/>
    <w:qFormat/>
    <w:uiPriority w:val="99"/>
    <w:pPr>
      <w:spacing w:after="160" w:line="278" w:lineRule="auto"/>
    </w:pPr>
    <w:rPr>
      <w:rFonts w:ascii="Times New Roman" w:hAnsi="Times New Roman" w:eastAsia="方正仿宋_GBK" w:cs="Times New Roman"/>
      <w:kern w:val="2"/>
      <w:sz w:val="32"/>
      <w:szCs w:val="32"/>
      <w:lang w:val="en-US" w:eastAsia="zh-CN" w:bidi="ar-SA"/>
    </w:rPr>
  </w:style>
  <w:style w:type="character" w:customStyle="1" w:styleId="71">
    <w:name w:val="未处理的提及2"/>
    <w:basedOn w:val="19"/>
    <w:semiHidden/>
    <w:unhideWhenUsed/>
    <w:qFormat/>
    <w:uiPriority w:val="99"/>
    <w:rPr>
      <w:color w:val="605E5C"/>
      <w:shd w:val="clear" w:color="auto" w:fill="E1DFDD"/>
    </w:rPr>
  </w:style>
  <w:style w:type="paragraph" w:customStyle="1" w:styleId="72">
    <w:name w:val="标题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3">
    <w:name w:val="标题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74">
    <w:name w:val="修订3"/>
    <w:hidden/>
    <w:unhideWhenUsed/>
    <w:qFormat/>
    <w:uiPriority w:val="99"/>
    <w:pPr>
      <w:spacing w:after="160" w:line="278" w:lineRule="auto"/>
    </w:pPr>
    <w:rPr>
      <w:rFonts w:ascii="Times New Roman" w:hAnsi="Times New Roman" w:eastAsia="方正仿宋_GBK" w:cs="Times New Roman"/>
      <w:kern w:val="2"/>
      <w:sz w:val="32"/>
      <w:szCs w:val="32"/>
      <w:lang w:val="en-US" w:eastAsia="zh-CN" w:bidi="ar-SA"/>
    </w:rPr>
  </w:style>
  <w:style w:type="paragraph" w:customStyle="1" w:styleId="75">
    <w:name w:val="修订4"/>
    <w:hidden/>
    <w:unhideWhenUsed/>
    <w:qFormat/>
    <w:uiPriority w:val="99"/>
    <w:pPr>
      <w:spacing w:after="160" w:line="278" w:lineRule="auto"/>
    </w:pPr>
    <w:rPr>
      <w:rFonts w:ascii="Times New Roman" w:hAnsi="Times New Roman" w:eastAsia="方正仿宋_GBK" w:cs="Times New Roman"/>
      <w:kern w:val="2"/>
      <w:sz w:val="32"/>
      <w:szCs w:val="32"/>
      <w:lang w:val="en-US" w:eastAsia="zh-CN" w:bidi="ar-SA"/>
    </w:rPr>
  </w:style>
  <w:style w:type="character" w:customStyle="1" w:styleId="76">
    <w:name w:val="ng-star-inserted"/>
    <w:basedOn w:val="19"/>
    <w:qFormat/>
    <w:uiPriority w:val="0"/>
  </w:style>
  <w:style w:type="paragraph" w:customStyle="1" w:styleId="77">
    <w:name w:val="修订5"/>
    <w:hidden/>
    <w:unhideWhenUsed/>
    <w:qFormat/>
    <w:uiPriority w:val="99"/>
    <w:rPr>
      <w:rFonts w:ascii="Times New Roman" w:hAnsi="Times New Roman" w:eastAsia="方正仿宋_GBK" w:cs="Times New Roman"/>
      <w:kern w:val="2"/>
      <w:sz w:val="32"/>
      <w:szCs w:val="32"/>
      <w:lang w:val="en-US" w:eastAsia="zh-CN" w:bidi="ar-SA"/>
    </w:rPr>
  </w:style>
  <w:style w:type="character" w:customStyle="1" w:styleId="78">
    <w:name w:val="纯文本 Char"/>
    <w:basedOn w:val="19"/>
    <w:link w:val="9"/>
    <w:qFormat/>
    <w:uiPriority w:val="0"/>
    <w:rPr>
      <w:rFonts w:ascii="宋体" w:hAnsi="Courier New" w:cs="Courier New"/>
      <w:kern w:val="2"/>
      <w:sz w:val="21"/>
      <w:szCs w:val="21"/>
    </w:rPr>
  </w:style>
  <w:style w:type="paragraph" w:customStyle="1" w:styleId="79">
    <w:name w:val="p"/>
    <w:basedOn w:val="1"/>
    <w:qFormat/>
    <w:uiPriority w:val="0"/>
    <w:pPr>
      <w:widowControl/>
      <w:spacing w:line="390" w:lineRule="atLeast"/>
      <w:ind w:firstLine="0" w:firstLineChars="0"/>
      <w:jc w:val="left"/>
    </w:pPr>
    <w:rPr>
      <w:rFonts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Company>
  <Pages>96</Pages>
  <Words>57765</Words>
  <Characters>58305</Characters>
  <Lines>390</Lines>
  <Paragraphs>109</Paragraphs>
  <TotalTime>6</TotalTime>
  <ScaleCrop>false</ScaleCrop>
  <LinksUpToDate>false</LinksUpToDate>
  <CharactersWithSpaces>58972</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2024-05-21T18:17:00Z</dcterms:created>
  <dc:creator>user</dc:creator>
  <cp:lastModifiedBy>kylin</cp:lastModifiedBy>
  <cp:lastPrinted>2019-02-03T20:38:00Z</cp:lastPrinted>
  <dcterms:modified xsi:type="dcterms:W3CDTF">2024-05-23T16:48:48Z</dcterms:modified>
  <dc:title>津商务资管〔2004〕76号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723DDE44759210A7C2F64E66819301E7</vt:lpwstr>
  </property>
</Properties>
</file>