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color w:val="000000"/>
          <w:sz w:val="24"/>
        </w:rPr>
      </w:pPr>
    </w:p>
    <w:p>
      <w:pPr>
        <w:widowControl/>
        <w:jc w:val="left"/>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bookmarkStart w:id="11" w:name="_GoBack"/>
      <w:r>
        <w:rPr>
          <w:rFonts w:hint="eastAsia" w:eastAsia="方正小标宋简体"/>
          <w:sz w:val="44"/>
          <w:szCs w:val="44"/>
        </w:rPr>
        <w:t>天津海河教育园区管理规定</w:t>
      </w:r>
    </w:p>
    <w:p>
      <w:pPr>
        <w:spacing w:line="540" w:lineRule="exact"/>
        <w:jc w:val="center"/>
        <w:rPr>
          <w:rFonts w:ascii="楷体_GB2312" w:eastAsia="楷体_GB2312"/>
          <w:color w:val="000000"/>
          <w:sz w:val="32"/>
          <w:szCs w:val="32"/>
        </w:rPr>
      </w:pPr>
      <w:r>
        <w:rPr>
          <w:rFonts w:hint="eastAsia" w:ascii="楷体_GB2312" w:eastAsia="楷体_GB2312"/>
          <w:color w:val="000000"/>
          <w:sz w:val="32"/>
          <w:szCs w:val="32"/>
        </w:rPr>
        <w:t>（修订</w:t>
      </w:r>
      <w:r>
        <w:rPr>
          <w:rFonts w:hint="eastAsia" w:ascii="楷体_GB2312" w:eastAsia="楷体_GB2312"/>
          <w:color w:val="000000"/>
          <w:sz w:val="32"/>
          <w:szCs w:val="32"/>
          <w:lang w:val="en"/>
        </w:rPr>
        <w:t>报审稿</w:t>
      </w:r>
      <w:r>
        <w:rPr>
          <w:rFonts w:hint="eastAsia" w:ascii="楷体_GB2312" w:eastAsia="楷体_GB2312"/>
          <w:color w:val="000000"/>
          <w:sz w:val="32"/>
          <w:szCs w:val="32"/>
        </w:rPr>
        <w:t>）</w:t>
      </w:r>
      <w:bookmarkStart w:id="0" w:name="_Toc31669"/>
      <w:bookmarkStart w:id="1" w:name="_Toc60655244"/>
      <w:bookmarkStart w:id="2" w:name="_Toc231628719_WPSOffice_Level1"/>
      <w:bookmarkEnd w:id="11"/>
    </w:p>
    <w:bookmarkEnd w:id="0"/>
    <w:bookmarkEnd w:id="1"/>
    <w:bookmarkEnd w:id="2"/>
    <w:p>
      <w:pPr>
        <w:spacing w:line="560" w:lineRule="exact"/>
        <w:jc w:val="center"/>
        <w:rPr>
          <w:rFonts w:eastAsia="等线"/>
        </w:rPr>
      </w:pPr>
      <w:bookmarkStart w:id="3" w:name="_Toc60655245"/>
      <w:bookmarkStart w:id="4" w:name="_Toc20833"/>
    </w:p>
    <w:bookmarkEnd w:id="3"/>
    <w:bookmarkEnd w:id="4"/>
    <w:p>
      <w:pPr>
        <w:spacing w:line="560" w:lineRule="exact"/>
        <w:jc w:val="center"/>
        <w:outlineLvl w:val="1"/>
        <w:rPr>
          <w:rFonts w:eastAsia="等线"/>
        </w:rPr>
      </w:pPr>
      <w:bookmarkStart w:id="5" w:name="_Toc1549656836_WPSOffice_Level1"/>
      <w:bookmarkStart w:id="6" w:name="_Toc60655247"/>
      <w:r>
        <w:rPr>
          <w:rFonts w:hint="eastAsia" w:eastAsia="黑体"/>
          <w:bCs/>
          <w:sz w:val="32"/>
          <w:szCs w:val="32"/>
        </w:rPr>
        <w:t>第一章　总则</w:t>
      </w:r>
      <w:bookmarkEnd w:id="5"/>
      <w:bookmarkEnd w:id="6"/>
    </w:p>
    <w:p>
      <w:pPr>
        <w:spacing w:line="560" w:lineRule="exact"/>
        <w:rPr>
          <w:rFonts w:eastAsia="仿宋_GB2312"/>
          <w:b/>
          <w:kern w:val="0"/>
          <w:sz w:val="32"/>
          <w:szCs w:val="32"/>
        </w:rPr>
      </w:pPr>
    </w:p>
    <w:p>
      <w:pPr>
        <w:spacing w:line="560" w:lineRule="exact"/>
        <w:ind w:firstLine="640" w:firstLineChars="200"/>
        <w:rPr>
          <w:rFonts w:eastAsia="仿宋_GB2312"/>
          <w:kern w:val="0"/>
          <w:sz w:val="32"/>
          <w:szCs w:val="32"/>
        </w:rPr>
      </w:pPr>
      <w:r>
        <w:rPr>
          <w:rFonts w:hint="eastAsia" w:hAnsi="黑体" w:eastAsia="黑体"/>
          <w:bCs/>
          <w:sz w:val="32"/>
          <w:szCs w:val="32"/>
        </w:rPr>
        <w:t>第一条</w:t>
      </w:r>
      <w:r>
        <w:rPr>
          <w:rFonts w:hint="eastAsia" w:hAnsi="黑体" w:eastAsia="黑体" w:cs="黑体"/>
          <w:bCs/>
          <w:kern w:val="0"/>
          <w:sz w:val="32"/>
          <w:szCs w:val="32"/>
        </w:rPr>
        <w:t>　</w:t>
      </w:r>
      <w:r>
        <w:rPr>
          <w:rFonts w:hint="eastAsia" w:eastAsia="仿宋_GB2312"/>
          <w:kern w:val="0"/>
          <w:sz w:val="32"/>
          <w:szCs w:val="32"/>
        </w:rPr>
        <w:t>为全面创新天津海河教育园区的管理体制机制，促进海河教育园区与津南区协调发展，推进职业教育与产业、企业深度融合，聚焦创新要素，引育新动能，发展新经济，打造天津创新发展聚集区，根据有关法律、法规和本市实际情况，制定本规定。</w:t>
      </w:r>
    </w:p>
    <w:p>
      <w:pPr>
        <w:spacing w:line="560" w:lineRule="exact"/>
        <w:ind w:firstLine="640" w:firstLineChars="200"/>
        <w:rPr>
          <w:rFonts w:eastAsia="仿宋_GB2312"/>
          <w:b/>
          <w:kern w:val="0"/>
          <w:sz w:val="32"/>
          <w:szCs w:val="32"/>
        </w:rPr>
      </w:pPr>
      <w:r>
        <w:rPr>
          <w:rFonts w:hint="eastAsia" w:hAnsi="黑体" w:eastAsia="黑体"/>
          <w:bCs/>
          <w:sz w:val="32"/>
          <w:szCs w:val="32"/>
        </w:rPr>
        <w:t>第二条　</w:t>
      </w:r>
      <w:r>
        <w:rPr>
          <w:rFonts w:hint="eastAsia" w:eastAsia="仿宋_GB2312"/>
          <w:kern w:val="0"/>
          <w:sz w:val="32"/>
          <w:szCs w:val="32"/>
          <w:lang w:bidi="ar"/>
        </w:rPr>
        <w:t>天津海河教育园区（以下简称园区）的</w:t>
      </w:r>
      <w:r>
        <w:rPr>
          <w:rFonts w:hint="eastAsia" w:eastAsia="仿宋_GB2312"/>
          <w:kern w:val="0"/>
          <w:sz w:val="32"/>
          <w:szCs w:val="32"/>
        </w:rPr>
        <w:t>规划发展、职业教育改革创新、产学研融合、</w:t>
      </w:r>
      <w:r>
        <w:rPr>
          <w:rFonts w:hint="eastAsia" w:eastAsia="仿宋_GB2312"/>
          <w:kern w:val="0"/>
          <w:sz w:val="32"/>
          <w:szCs w:val="32"/>
          <w:lang w:bidi="ar"/>
        </w:rPr>
        <w:t>互联网教育、</w:t>
      </w:r>
      <w:r>
        <w:rPr>
          <w:rFonts w:hint="eastAsia" w:eastAsia="仿宋_GB2312"/>
          <w:kern w:val="0"/>
          <w:sz w:val="32"/>
          <w:szCs w:val="32"/>
        </w:rPr>
        <w:t>科技研发转化和</w:t>
      </w:r>
      <w:r>
        <w:rPr>
          <w:rFonts w:hint="eastAsia" w:eastAsia="仿宋_GB2312"/>
          <w:kern w:val="0"/>
          <w:sz w:val="32"/>
          <w:szCs w:val="32"/>
          <w:lang w:bidi="ar"/>
        </w:rPr>
        <w:t>新动能引育</w:t>
      </w:r>
      <w:r>
        <w:rPr>
          <w:rFonts w:hint="eastAsia" w:eastAsia="仿宋_GB2312"/>
          <w:kern w:val="0"/>
          <w:sz w:val="32"/>
          <w:szCs w:val="32"/>
        </w:rPr>
        <w:t>等活动，适用本规定。</w:t>
      </w:r>
    </w:p>
    <w:p>
      <w:pPr>
        <w:spacing w:line="560" w:lineRule="exact"/>
        <w:ind w:firstLine="800" w:firstLineChars="250"/>
        <w:rPr>
          <w:rFonts w:hAnsi="黑体" w:eastAsia="黑体"/>
          <w:bCs/>
          <w:sz w:val="32"/>
          <w:szCs w:val="32"/>
        </w:rPr>
      </w:pPr>
      <w:r>
        <w:rPr>
          <w:rFonts w:hint="eastAsia" w:eastAsia="仿宋_GB2312"/>
          <w:kern w:val="0"/>
          <w:sz w:val="32"/>
          <w:szCs w:val="32"/>
          <w:lang w:bidi="ar"/>
        </w:rPr>
        <w:t>园区坐落在天津市津南区，</w:t>
      </w:r>
      <w:r>
        <w:rPr>
          <w:rFonts w:hint="eastAsia" w:eastAsia="仿宋_GB2312"/>
          <w:kern w:val="0"/>
          <w:sz w:val="32"/>
          <w:szCs w:val="32"/>
        </w:rPr>
        <w:t>具体范围按照批准的天津海河教育园区规划执行。</w:t>
      </w:r>
      <w:r>
        <w:rPr>
          <w:rFonts w:hint="eastAsia" w:hAnsi="宋体" w:cs="宋体"/>
          <w:bCs/>
          <w:kern w:val="0"/>
          <w:sz w:val="24"/>
        </w:rPr>
        <w:t>　　</w:t>
      </w:r>
      <w:bookmarkStart w:id="7" w:name="_Toc852185322_WPSOffice_Level1"/>
    </w:p>
    <w:p>
      <w:pPr>
        <w:spacing w:line="560" w:lineRule="exact"/>
        <w:ind w:firstLine="640" w:firstLineChars="200"/>
        <w:rPr>
          <w:rFonts w:eastAsia="仿宋_GB2312" w:cs="仿宋"/>
          <w:bCs/>
          <w:kern w:val="0"/>
          <w:sz w:val="32"/>
          <w:szCs w:val="32"/>
        </w:rPr>
      </w:pPr>
      <w:r>
        <w:rPr>
          <w:rFonts w:hint="eastAsia" w:hAnsi="黑体" w:eastAsia="黑体"/>
          <w:bCs/>
          <w:sz w:val="32"/>
          <w:szCs w:val="32"/>
        </w:rPr>
        <w:t>第三条</w:t>
      </w:r>
      <w:r>
        <w:rPr>
          <w:rFonts w:hint="eastAsia" w:eastAsia="仿宋_GB2312"/>
          <w:bCs/>
          <w:kern w:val="0"/>
          <w:sz w:val="32"/>
          <w:szCs w:val="32"/>
        </w:rPr>
        <w:t>　园区应当</w:t>
      </w:r>
      <w:r>
        <w:rPr>
          <w:rFonts w:hint="eastAsia" w:eastAsia="仿宋_GB2312" w:cs="仿宋"/>
          <w:bCs/>
          <w:kern w:val="0"/>
          <w:sz w:val="32"/>
          <w:szCs w:val="32"/>
        </w:rPr>
        <w:t xml:space="preserve">紧密结合国家产教融合型城市试点核心区建设，与周边区域联动发展，集聚高端人才，聚焦新动能引育，推进产学研用一体化，建设京津冀协同发展的人才培养基地，全力打造高水平创新发展聚集区和新时代职业教育创新发展全国标杆区示范窗口。 </w:t>
      </w:r>
    </w:p>
    <w:p>
      <w:pPr>
        <w:spacing w:line="560" w:lineRule="exact"/>
        <w:jc w:val="center"/>
        <w:outlineLvl w:val="1"/>
        <w:rPr>
          <w:rFonts w:eastAsia="黑体"/>
          <w:bCs/>
          <w:sz w:val="32"/>
          <w:szCs w:val="32"/>
        </w:rPr>
      </w:pPr>
    </w:p>
    <w:p>
      <w:pPr>
        <w:spacing w:line="560" w:lineRule="exact"/>
        <w:jc w:val="center"/>
        <w:outlineLvl w:val="1"/>
        <w:rPr>
          <w:rFonts w:eastAsia="黑体"/>
          <w:bCs/>
          <w:sz w:val="32"/>
          <w:szCs w:val="32"/>
        </w:rPr>
      </w:pPr>
      <w:r>
        <w:rPr>
          <w:rFonts w:hint="eastAsia" w:eastAsia="黑体"/>
          <w:bCs/>
          <w:sz w:val="32"/>
          <w:szCs w:val="32"/>
        </w:rPr>
        <w:t>第二章　管理职责</w:t>
      </w:r>
      <w:bookmarkEnd w:id="7"/>
    </w:p>
    <w:p>
      <w:pPr>
        <w:spacing w:line="560" w:lineRule="exact"/>
        <w:jc w:val="center"/>
        <w:outlineLvl w:val="1"/>
        <w:rPr>
          <w:rFonts w:eastAsia="黑体"/>
          <w:bCs/>
          <w:sz w:val="32"/>
          <w:szCs w:val="32"/>
        </w:rPr>
      </w:pPr>
    </w:p>
    <w:p>
      <w:pPr>
        <w:tabs>
          <w:tab w:val="left" w:pos="8241"/>
        </w:tabs>
        <w:spacing w:line="560" w:lineRule="exact"/>
        <w:ind w:firstLine="640" w:firstLineChars="200"/>
        <w:rPr>
          <w:rFonts w:eastAsia="仿宋_GB2312"/>
          <w:kern w:val="0"/>
          <w:sz w:val="32"/>
          <w:szCs w:val="32"/>
        </w:rPr>
      </w:pPr>
      <w:r>
        <w:rPr>
          <w:rFonts w:hint="eastAsia" w:hAnsi="黑体" w:eastAsia="黑体"/>
          <w:bCs/>
          <w:sz w:val="32"/>
          <w:szCs w:val="32"/>
        </w:rPr>
        <w:t>第四条　</w:t>
      </w:r>
      <w:r>
        <w:rPr>
          <w:rFonts w:hint="eastAsia" w:eastAsia="仿宋_GB2312"/>
          <w:kern w:val="0"/>
          <w:sz w:val="32"/>
          <w:szCs w:val="32"/>
        </w:rPr>
        <w:t>津南区人民政府对园区实行统一管理。园区的规划建设、安全环保、市场监管、城市管理、人力资源和社会保障、公共卫生、财政管理等行政管理工作，由区人民政府及其相关部门按照职责依法履行。</w:t>
      </w:r>
    </w:p>
    <w:p>
      <w:pPr>
        <w:spacing w:line="560" w:lineRule="exact"/>
        <w:ind w:firstLine="642"/>
        <w:rPr>
          <w:rFonts w:eastAsia="仿宋_GB2312"/>
          <w:kern w:val="0"/>
          <w:sz w:val="32"/>
          <w:szCs w:val="32"/>
        </w:rPr>
      </w:pPr>
      <w:r>
        <w:rPr>
          <w:rFonts w:hint="eastAsia" w:hAnsi="黑体" w:eastAsia="黑体"/>
          <w:bCs/>
          <w:sz w:val="32"/>
          <w:szCs w:val="32"/>
        </w:rPr>
        <w:t>第五条</w:t>
      </w:r>
      <w:r>
        <w:rPr>
          <w:rFonts w:hint="eastAsia" w:eastAsia="仿宋_GB2312"/>
          <w:kern w:val="0"/>
          <w:sz w:val="32"/>
          <w:szCs w:val="32"/>
        </w:rPr>
        <w:t>　天津海河教育园区管理委员会（以下简称园区管委会）作为法定机构，具体负责编制园区发展规划计划、公共思政平台搭建、组织创新职业教育体制机制、推动产学研融合、科技创新载体建设、促进科技成果转化和新动能引育等工作。</w:t>
      </w:r>
    </w:p>
    <w:p>
      <w:pPr>
        <w:spacing w:line="560" w:lineRule="exact"/>
        <w:ind w:firstLine="642"/>
        <w:rPr>
          <w:rFonts w:eastAsia="仿宋_GB2312"/>
          <w:kern w:val="0"/>
          <w:sz w:val="32"/>
          <w:szCs w:val="32"/>
        </w:rPr>
      </w:pPr>
      <w:r>
        <w:rPr>
          <w:rFonts w:hint="eastAsia" w:hAnsi="黑体" w:eastAsia="黑体"/>
          <w:bCs/>
          <w:sz w:val="32"/>
          <w:szCs w:val="32"/>
        </w:rPr>
        <w:t>第六条</w:t>
      </w:r>
      <w:r>
        <w:rPr>
          <w:rFonts w:hint="eastAsia" w:eastAsia="仿宋_GB2312"/>
          <w:kern w:val="0"/>
          <w:sz w:val="32"/>
          <w:szCs w:val="32"/>
        </w:rPr>
        <w:t>　鼓励、支持园区管委会创新管理体制和运营模式，根据统一、协调、精简、高效原则，实行企业化管理。</w:t>
      </w:r>
    </w:p>
    <w:p>
      <w:pPr>
        <w:spacing w:line="560" w:lineRule="exact"/>
        <w:ind w:firstLine="642"/>
        <w:rPr>
          <w:rFonts w:eastAsia="仿宋_GB2312"/>
          <w:kern w:val="0"/>
          <w:sz w:val="32"/>
          <w:szCs w:val="32"/>
        </w:rPr>
      </w:pPr>
      <w:r>
        <w:rPr>
          <w:rFonts w:hint="eastAsia" w:eastAsia="仿宋_GB2312"/>
          <w:kern w:val="0"/>
          <w:sz w:val="32"/>
          <w:szCs w:val="32"/>
        </w:rPr>
        <w:t>对园区管委会负责人和管理人员实行竞争选拔制和任期目标制，推行全员聘任制，建立岗位绩效工资体系，为干事创业和园区高质量发展提供坚强保障。</w:t>
      </w:r>
    </w:p>
    <w:p>
      <w:pPr>
        <w:tabs>
          <w:tab w:val="left" w:pos="8241"/>
        </w:tabs>
        <w:spacing w:line="560" w:lineRule="exact"/>
        <w:ind w:firstLine="640" w:firstLineChars="200"/>
        <w:rPr>
          <w:rFonts w:eastAsia="仿宋_GB2312"/>
          <w:kern w:val="0"/>
          <w:sz w:val="32"/>
          <w:szCs w:val="32"/>
        </w:rPr>
      </w:pPr>
      <w:r>
        <w:rPr>
          <w:rFonts w:hint="eastAsia" w:hAnsi="黑体" w:eastAsia="黑体"/>
          <w:bCs/>
          <w:sz w:val="32"/>
          <w:szCs w:val="32"/>
        </w:rPr>
        <w:t>第七条</w:t>
      </w:r>
      <w:r>
        <w:rPr>
          <w:rFonts w:hint="eastAsia" w:eastAsia="仿宋_GB2312"/>
          <w:b/>
          <w:kern w:val="0"/>
          <w:sz w:val="32"/>
          <w:szCs w:val="32"/>
        </w:rPr>
        <w:t>　</w:t>
      </w:r>
      <w:r>
        <w:rPr>
          <w:rFonts w:hint="eastAsia" w:eastAsia="仿宋_GB2312"/>
          <w:kern w:val="0"/>
          <w:sz w:val="32"/>
          <w:szCs w:val="32"/>
        </w:rPr>
        <w:t>津南区人民政府在园区设立的街道办事处，为区人民政府的派出机关，应当在本街道党的工作委员会的领导下，坚持职能清晰、权责一致、保障有力、高效便民的原则，依法在辖区内履行公共服务、公共管理、平安建设、生态环境保护等相应的政府服务和管理职责。</w:t>
      </w:r>
    </w:p>
    <w:p>
      <w:pPr>
        <w:spacing w:line="560" w:lineRule="exact"/>
        <w:ind w:firstLine="640" w:firstLineChars="200"/>
        <w:rPr>
          <w:rFonts w:eastAsia="仿宋_GB2312" w:cs="仿宋"/>
          <w:sz w:val="32"/>
          <w:szCs w:val="32"/>
        </w:rPr>
      </w:pPr>
      <w:r>
        <w:rPr>
          <w:rFonts w:hint="eastAsia" w:hAnsi="黑体" w:eastAsia="黑体"/>
          <w:bCs/>
          <w:sz w:val="32"/>
          <w:szCs w:val="32"/>
        </w:rPr>
        <w:t>第八条　</w:t>
      </w:r>
      <w:r>
        <w:rPr>
          <w:rFonts w:hint="eastAsia" w:eastAsia="仿宋_GB2312" w:cs="仿宋"/>
          <w:sz w:val="32"/>
          <w:szCs w:val="32"/>
        </w:rPr>
        <w:t>市人民政府及其有关部门应当积极推动和支持园区各项改革创新，按照有利于园区发展的原则，促进教育和产业体系人才、智力、技术、资本、管理等资源要素深度融合，助力园区建设科技创新高地、原始创新重要策源地和具有国际竞争力的创新发展区域，构建绿色发展新格局。</w:t>
      </w:r>
    </w:p>
    <w:p>
      <w:pPr>
        <w:spacing w:line="560" w:lineRule="exact"/>
        <w:jc w:val="center"/>
        <w:outlineLvl w:val="1"/>
        <w:rPr>
          <w:rFonts w:eastAsia="黑体"/>
          <w:bCs/>
          <w:sz w:val="32"/>
          <w:szCs w:val="32"/>
        </w:rPr>
      </w:pPr>
      <w:bookmarkStart w:id="8" w:name="_Toc724476824_WPSOffice_Level1"/>
      <w:bookmarkStart w:id="9" w:name="_Toc60655249"/>
    </w:p>
    <w:p>
      <w:pPr>
        <w:spacing w:line="560" w:lineRule="exact"/>
        <w:jc w:val="center"/>
        <w:outlineLvl w:val="1"/>
        <w:rPr>
          <w:rFonts w:eastAsia="黑体"/>
          <w:bCs/>
          <w:sz w:val="32"/>
          <w:szCs w:val="32"/>
        </w:rPr>
      </w:pPr>
      <w:r>
        <w:rPr>
          <w:rFonts w:hint="eastAsia" w:eastAsia="黑体"/>
          <w:bCs/>
          <w:sz w:val="32"/>
          <w:szCs w:val="32"/>
        </w:rPr>
        <w:t>第三章　职业教育</w:t>
      </w:r>
      <w:bookmarkEnd w:id="8"/>
      <w:bookmarkEnd w:id="9"/>
    </w:p>
    <w:p>
      <w:pPr>
        <w:spacing w:line="560" w:lineRule="exact"/>
        <w:rPr>
          <w:rFonts w:eastAsia="等线"/>
        </w:rPr>
      </w:pPr>
    </w:p>
    <w:p>
      <w:pPr>
        <w:spacing w:line="560" w:lineRule="exact"/>
        <w:ind w:firstLine="640" w:firstLineChars="200"/>
        <w:rPr>
          <w:rFonts w:eastAsia="仿宋_GB2312"/>
          <w:bCs/>
          <w:kern w:val="0"/>
          <w:sz w:val="32"/>
          <w:szCs w:val="32"/>
        </w:rPr>
      </w:pPr>
      <w:r>
        <w:rPr>
          <w:rFonts w:hint="eastAsia" w:hAnsi="黑体" w:eastAsia="黑体"/>
          <w:bCs/>
          <w:sz w:val="32"/>
          <w:szCs w:val="32"/>
        </w:rPr>
        <w:t>第九条　</w:t>
      </w:r>
      <w:r>
        <w:rPr>
          <w:rFonts w:hint="eastAsia" w:eastAsia="仿宋_GB2312"/>
          <w:bCs/>
          <w:kern w:val="0"/>
          <w:sz w:val="32"/>
          <w:szCs w:val="32"/>
        </w:rPr>
        <w:t>园区应当坚</w:t>
      </w:r>
      <w:r>
        <w:rPr>
          <w:rFonts w:hint="eastAsia" w:eastAsia="仿宋_GB2312"/>
          <w:kern w:val="0"/>
          <w:sz w:val="32"/>
          <w:szCs w:val="32"/>
        </w:rPr>
        <w:t>持把立德树人作为根本任务，</w:t>
      </w:r>
      <w:r>
        <w:rPr>
          <w:rFonts w:hint="eastAsia" w:eastAsia="仿宋_GB2312"/>
          <w:bCs/>
          <w:kern w:val="0"/>
          <w:sz w:val="32"/>
          <w:szCs w:val="32"/>
        </w:rPr>
        <w:t>着力加强思政</w:t>
      </w:r>
      <w:r>
        <w:rPr>
          <w:rFonts w:hint="eastAsia" w:eastAsia="仿宋_GB2312"/>
          <w:kern w:val="0"/>
          <w:sz w:val="32"/>
          <w:szCs w:val="32"/>
        </w:rPr>
        <w:t>教育</w:t>
      </w:r>
      <w:r>
        <w:rPr>
          <w:rFonts w:hint="eastAsia" w:eastAsia="仿宋_GB2312"/>
          <w:bCs/>
          <w:kern w:val="0"/>
          <w:sz w:val="32"/>
          <w:szCs w:val="32"/>
        </w:rPr>
        <w:t>工作载体和</w:t>
      </w:r>
      <w:r>
        <w:rPr>
          <w:rFonts w:hint="eastAsia" w:eastAsia="仿宋_GB2312"/>
          <w:kern w:val="0"/>
          <w:sz w:val="32"/>
          <w:szCs w:val="32"/>
        </w:rPr>
        <w:t>平台</w:t>
      </w:r>
      <w:r>
        <w:rPr>
          <w:rFonts w:hint="eastAsia" w:eastAsia="仿宋_GB2312"/>
          <w:bCs/>
          <w:kern w:val="0"/>
          <w:sz w:val="32"/>
          <w:szCs w:val="32"/>
        </w:rPr>
        <w:t>建设，把思政教育贯穿人才培养体系，培养德技并修的人才，构建职业教育“三全育人”新格局。</w:t>
      </w:r>
    </w:p>
    <w:p>
      <w:pPr>
        <w:spacing w:line="560" w:lineRule="exact"/>
        <w:ind w:firstLine="640" w:firstLineChars="200"/>
        <w:rPr>
          <w:rFonts w:eastAsia="仿宋_GB2312"/>
          <w:kern w:val="0"/>
          <w:sz w:val="32"/>
          <w:szCs w:val="32"/>
        </w:rPr>
      </w:pPr>
      <w:r>
        <w:rPr>
          <w:rFonts w:hint="eastAsia" w:hAnsi="黑体" w:eastAsia="黑体"/>
          <w:bCs/>
          <w:sz w:val="32"/>
          <w:szCs w:val="32"/>
        </w:rPr>
        <w:t>第十条　</w:t>
      </w:r>
      <w:r>
        <w:rPr>
          <w:rFonts w:hint="eastAsia" w:eastAsia="仿宋_GB2312"/>
          <w:kern w:val="0"/>
          <w:sz w:val="32"/>
          <w:szCs w:val="32"/>
        </w:rPr>
        <w:t>园区职业教育创新应当落实服务发展、促进就业的办学方向，深化办学体制和育人机制改革，创新各层级各类型职业教育模式，完善职业教育和培训体系，建立健全共享机制，鼓励园区内院校之间教师互聘、课程互选、学分互认，探索工程实践创新项目教学模式，适应经济转型升级和就业创业需要。</w:t>
      </w:r>
    </w:p>
    <w:p>
      <w:pPr>
        <w:spacing w:line="560" w:lineRule="exact"/>
        <w:ind w:firstLine="640" w:firstLineChars="200"/>
        <w:rPr>
          <w:rFonts w:eastAsia="仿宋_GB2312"/>
          <w:kern w:val="0"/>
          <w:sz w:val="32"/>
          <w:szCs w:val="32"/>
        </w:rPr>
      </w:pPr>
      <w:r>
        <w:rPr>
          <w:rFonts w:hint="eastAsia" w:hAnsi="黑体" w:eastAsia="黑体"/>
          <w:bCs/>
          <w:sz w:val="32"/>
          <w:szCs w:val="32"/>
        </w:rPr>
        <w:t>第十一条　</w:t>
      </w:r>
      <w:r>
        <w:rPr>
          <w:rFonts w:hint="eastAsia" w:eastAsia="仿宋_GB2312"/>
          <w:kern w:val="0"/>
          <w:sz w:val="32"/>
          <w:szCs w:val="32"/>
        </w:rPr>
        <w:t>园区支持和鼓励职业院校主动对接服务重大国家战略，围绕区域经济社会发展，调整专业结构，拓展专业方向，建设人才培养基地，全力打造承接北京非首都功能疏解的双创平台。</w:t>
      </w:r>
    </w:p>
    <w:p>
      <w:pPr>
        <w:spacing w:line="560" w:lineRule="exact"/>
        <w:ind w:firstLine="642"/>
        <w:rPr>
          <w:rFonts w:eastAsia="仿宋_GB2312"/>
          <w:kern w:val="0"/>
          <w:sz w:val="32"/>
          <w:szCs w:val="32"/>
        </w:rPr>
      </w:pPr>
      <w:r>
        <w:rPr>
          <w:rFonts w:hint="eastAsia" w:hAnsi="黑体" w:eastAsia="黑体"/>
          <w:bCs/>
          <w:sz w:val="32"/>
          <w:szCs w:val="32"/>
        </w:rPr>
        <w:t>第十二条　</w:t>
      </w:r>
      <w:r>
        <w:rPr>
          <w:rFonts w:hint="eastAsia" w:eastAsia="仿宋_GB2312"/>
          <w:kern w:val="0"/>
          <w:sz w:val="32"/>
          <w:szCs w:val="32"/>
        </w:rPr>
        <w:t>园区鼓励企业、行业组织采取独资、合资、合作等方式依法举办或者参与举办职业院校。</w:t>
      </w:r>
    </w:p>
    <w:p>
      <w:pPr>
        <w:spacing w:line="560" w:lineRule="exact"/>
        <w:ind w:firstLine="642"/>
        <w:rPr>
          <w:rFonts w:eastAsia="仿宋_GB2312"/>
          <w:kern w:val="0"/>
          <w:sz w:val="32"/>
          <w:szCs w:val="32"/>
        </w:rPr>
      </w:pPr>
      <w:r>
        <w:rPr>
          <w:rFonts w:hint="eastAsia" w:eastAsia="仿宋_GB2312"/>
          <w:kern w:val="0"/>
          <w:sz w:val="32"/>
          <w:szCs w:val="32"/>
        </w:rPr>
        <w:t>鼓励企业、行业组织与职业院校合作，依法设立产业学院（系、部）、混合所有制学校等教育实体。</w:t>
      </w:r>
    </w:p>
    <w:p>
      <w:pPr>
        <w:spacing w:line="560" w:lineRule="exact"/>
        <w:ind w:firstLine="642"/>
        <w:rPr>
          <w:rFonts w:eastAsia="仿宋_GB2312"/>
          <w:kern w:val="0"/>
          <w:sz w:val="32"/>
          <w:szCs w:val="32"/>
        </w:rPr>
      </w:pPr>
      <w:r>
        <w:rPr>
          <w:rFonts w:hint="eastAsia" w:hAnsi="黑体" w:eastAsia="黑体"/>
          <w:bCs/>
          <w:sz w:val="32"/>
          <w:szCs w:val="32"/>
        </w:rPr>
        <w:t>第十三条　</w:t>
      </w:r>
      <w:r>
        <w:rPr>
          <w:rFonts w:hint="eastAsia" w:eastAsia="仿宋_GB2312"/>
          <w:kern w:val="0"/>
          <w:sz w:val="32"/>
          <w:szCs w:val="32"/>
        </w:rPr>
        <w:t>园区鼓励支持职业院校建立与产业转型升级相适应的学科专业设置和课程体系动态调整体制，并主动与具备条件的企业开展合作，为企业培养高素质技术技能人才提供所需的课程、师资等资源。</w:t>
      </w:r>
    </w:p>
    <w:p>
      <w:pPr>
        <w:spacing w:line="560" w:lineRule="exact"/>
        <w:ind w:firstLine="642"/>
        <w:rPr>
          <w:rFonts w:eastAsia="仿宋_GB2312"/>
          <w:kern w:val="0"/>
          <w:sz w:val="32"/>
          <w:szCs w:val="32"/>
        </w:rPr>
      </w:pPr>
      <w:r>
        <w:rPr>
          <w:rFonts w:hint="eastAsia" w:eastAsia="仿宋_GB2312"/>
          <w:kern w:val="0"/>
          <w:sz w:val="32"/>
          <w:szCs w:val="32"/>
        </w:rPr>
        <w:t>积极搭建校企对接平台，促进院校师生创新创业。鼓励企业根据自身发展需要制定校企合作规划，利用资本、技术、知识、设备和管理等资源要素参与校企合作。</w:t>
      </w:r>
    </w:p>
    <w:p>
      <w:pPr>
        <w:spacing w:line="560" w:lineRule="exact"/>
        <w:ind w:firstLine="642"/>
        <w:rPr>
          <w:rFonts w:eastAsia="仿宋_GB2312"/>
          <w:kern w:val="0"/>
          <w:sz w:val="32"/>
          <w:szCs w:val="32"/>
        </w:rPr>
      </w:pPr>
      <w:r>
        <w:rPr>
          <w:rFonts w:hint="eastAsia" w:hAnsi="黑体" w:eastAsia="黑体"/>
          <w:bCs/>
          <w:sz w:val="32"/>
          <w:szCs w:val="32"/>
        </w:rPr>
        <w:t>第十四条</w:t>
      </w:r>
      <w:r>
        <w:rPr>
          <w:rFonts w:hint="eastAsia" w:hAnsi="黑体" w:eastAsia="黑体" w:cs="黑体"/>
          <w:bCs/>
          <w:kern w:val="0"/>
          <w:sz w:val="32"/>
          <w:szCs w:val="32"/>
        </w:rPr>
        <w:t>　</w:t>
      </w:r>
      <w:r>
        <w:rPr>
          <w:rFonts w:hint="eastAsia" w:eastAsia="仿宋_GB2312"/>
          <w:kern w:val="0"/>
          <w:sz w:val="32"/>
          <w:szCs w:val="32"/>
        </w:rPr>
        <w:t>园区鼓励支持职业院校建设或校企共建集实践教学、社会培训、企业真实生产和社会技术服务于一体的实训实践基地与虚拟仿真实训基地，创新实训实践基地运行模式，为技术技能人才培养提供有力支撑。</w:t>
      </w:r>
    </w:p>
    <w:p>
      <w:pPr>
        <w:spacing w:line="560" w:lineRule="exact"/>
        <w:ind w:firstLine="640" w:firstLineChars="200"/>
        <w:rPr>
          <w:rFonts w:eastAsia="仿宋_GB2312"/>
          <w:kern w:val="0"/>
          <w:sz w:val="32"/>
          <w:szCs w:val="32"/>
        </w:rPr>
      </w:pPr>
      <w:r>
        <w:rPr>
          <w:rFonts w:hint="eastAsia" w:hAnsi="黑体" w:eastAsia="黑体"/>
          <w:bCs/>
          <w:sz w:val="32"/>
          <w:szCs w:val="32"/>
        </w:rPr>
        <w:t>第十五条　</w:t>
      </w:r>
      <w:r>
        <w:rPr>
          <w:rFonts w:hint="eastAsia" w:eastAsia="仿宋_GB2312"/>
          <w:kern w:val="0"/>
          <w:sz w:val="32"/>
          <w:szCs w:val="32"/>
        </w:rPr>
        <w:t>园区深化复合型技术技能人才培养培训模式改革，实施1+X证书制度试点工作，鼓励在校学生获得学历证书的同时，积极取得多类职业技能等级证书，拓展就业本领。</w:t>
      </w:r>
    </w:p>
    <w:p>
      <w:pPr>
        <w:spacing w:line="560" w:lineRule="exact"/>
        <w:ind w:firstLine="642"/>
        <w:rPr>
          <w:rFonts w:eastAsia="仿宋_GB2312"/>
          <w:kern w:val="0"/>
          <w:sz w:val="32"/>
          <w:szCs w:val="32"/>
        </w:rPr>
      </w:pPr>
      <w:r>
        <w:rPr>
          <w:rFonts w:hint="eastAsia" w:eastAsia="仿宋_GB2312"/>
          <w:kern w:val="0"/>
          <w:sz w:val="32"/>
          <w:szCs w:val="32"/>
        </w:rPr>
        <w:t>支持普通高校、高等职业院校和中等职业学校参加社会培训评价组织遴选，备案后按规定面向学生、企业职工及各类社会人员开展职业技能等级认定。</w:t>
      </w:r>
    </w:p>
    <w:p>
      <w:pPr>
        <w:spacing w:line="560" w:lineRule="exact"/>
        <w:ind w:firstLine="640" w:firstLineChars="200"/>
        <w:rPr>
          <w:rFonts w:eastAsia="仿宋_GB2312"/>
          <w:kern w:val="0"/>
          <w:sz w:val="32"/>
          <w:szCs w:val="32"/>
        </w:rPr>
      </w:pPr>
      <w:r>
        <w:rPr>
          <w:rFonts w:hint="eastAsia" w:hAnsi="黑体" w:eastAsia="黑体"/>
          <w:bCs/>
          <w:sz w:val="32"/>
          <w:szCs w:val="32"/>
        </w:rPr>
        <w:t>第十六条</w:t>
      </w:r>
      <w:r>
        <w:rPr>
          <w:rFonts w:hint="eastAsia" w:hAnsi="黑体" w:eastAsia="黑体" w:cs="黑体"/>
          <w:bCs/>
          <w:kern w:val="0"/>
          <w:sz w:val="32"/>
          <w:szCs w:val="32"/>
        </w:rPr>
        <w:t>　</w:t>
      </w:r>
      <w:r>
        <w:rPr>
          <w:rFonts w:hint="eastAsia" w:eastAsia="仿宋_GB2312"/>
          <w:kern w:val="0"/>
          <w:sz w:val="32"/>
          <w:szCs w:val="32"/>
        </w:rPr>
        <w:t>支持国内外高等院校、科研院所、研究咨询机构在园区合作建立人才培养机构，探索创新国际教育、人才合作模式，加强国际间交流合作，推进鲁班工坊建设，培养具有国际竞争力的应用型人才。</w:t>
      </w:r>
      <w:bookmarkStart w:id="10" w:name="_Toc180156607_WPSOffice_Level1"/>
    </w:p>
    <w:p>
      <w:pPr>
        <w:spacing w:line="560" w:lineRule="exact"/>
        <w:ind w:firstLine="640" w:firstLineChars="200"/>
        <w:rPr>
          <w:rFonts w:eastAsia="仿宋_GB2312"/>
          <w:bCs/>
          <w:kern w:val="0"/>
          <w:sz w:val="32"/>
          <w:szCs w:val="32"/>
        </w:rPr>
      </w:pPr>
      <w:r>
        <w:rPr>
          <w:rFonts w:hint="eastAsia" w:hAnsi="黑体" w:eastAsia="黑体"/>
          <w:bCs/>
          <w:sz w:val="32"/>
          <w:szCs w:val="32"/>
        </w:rPr>
        <w:t>第十七条</w:t>
      </w:r>
      <w:r>
        <w:rPr>
          <w:rFonts w:hint="eastAsia" w:eastAsia="仿宋_GB2312"/>
          <w:b/>
          <w:kern w:val="0"/>
          <w:sz w:val="32"/>
          <w:szCs w:val="32"/>
        </w:rPr>
        <w:t>　</w:t>
      </w:r>
      <w:r>
        <w:rPr>
          <w:rFonts w:hint="eastAsia" w:eastAsia="仿宋_GB2312"/>
          <w:bCs/>
          <w:kern w:val="0"/>
          <w:sz w:val="32"/>
          <w:szCs w:val="32"/>
        </w:rPr>
        <w:t>支持开放大学发挥好继续教育职能，推进天津市社区教育指导中心、天津市学校家庭教育指导中心和终身教育学分银行建设，依托园区职业教育资源服务全民终身学习和学习型城市建设。</w:t>
      </w:r>
    </w:p>
    <w:p>
      <w:pPr>
        <w:spacing w:line="560" w:lineRule="exact"/>
        <w:ind w:firstLine="640" w:firstLineChars="200"/>
        <w:jc w:val="center"/>
        <w:rPr>
          <w:rFonts w:eastAsia="黑体"/>
          <w:bCs/>
          <w:sz w:val="32"/>
          <w:szCs w:val="32"/>
        </w:rPr>
      </w:pPr>
    </w:p>
    <w:p>
      <w:pPr>
        <w:spacing w:line="560" w:lineRule="exact"/>
        <w:ind w:firstLine="640" w:firstLineChars="200"/>
        <w:jc w:val="center"/>
        <w:rPr>
          <w:rFonts w:eastAsia="黑体"/>
          <w:bCs/>
          <w:sz w:val="32"/>
          <w:szCs w:val="32"/>
        </w:rPr>
      </w:pPr>
      <w:r>
        <w:rPr>
          <w:rFonts w:hint="eastAsia" w:eastAsia="黑体"/>
          <w:bCs/>
          <w:sz w:val="32"/>
          <w:szCs w:val="32"/>
        </w:rPr>
        <w:t>第四章　产教融合</w:t>
      </w:r>
      <w:bookmarkEnd w:id="10"/>
    </w:p>
    <w:p>
      <w:pPr>
        <w:spacing w:line="560" w:lineRule="exact"/>
        <w:rPr>
          <w:rFonts w:eastAsia="等线"/>
        </w:rPr>
      </w:pPr>
    </w:p>
    <w:p>
      <w:pPr>
        <w:spacing w:line="560" w:lineRule="exact"/>
        <w:ind w:firstLine="640" w:firstLineChars="200"/>
        <w:rPr>
          <w:rFonts w:eastAsia="仿宋_GB2312"/>
          <w:kern w:val="0"/>
          <w:sz w:val="32"/>
          <w:szCs w:val="32"/>
        </w:rPr>
      </w:pPr>
      <w:r>
        <w:rPr>
          <w:rFonts w:hint="eastAsia" w:hAnsi="黑体" w:eastAsia="黑体"/>
          <w:bCs/>
          <w:sz w:val="32"/>
          <w:szCs w:val="32"/>
        </w:rPr>
        <w:t>第十八条</w:t>
      </w:r>
      <w:r>
        <w:rPr>
          <w:rFonts w:hint="eastAsia" w:hAnsi="黑体" w:eastAsia="黑体" w:cs="黑体"/>
          <w:bCs/>
          <w:kern w:val="0"/>
          <w:sz w:val="32"/>
          <w:szCs w:val="32"/>
        </w:rPr>
        <w:t>　</w:t>
      </w:r>
      <w:r>
        <w:rPr>
          <w:rFonts w:hint="eastAsia" w:eastAsia="仿宋_GB2312"/>
          <w:kern w:val="0"/>
          <w:sz w:val="32"/>
          <w:szCs w:val="32"/>
        </w:rPr>
        <w:t>园区支持企业、高等院校、科研院所以及社会组织围绕产业关键技术、核心工艺和共性问题开展协同创新</w:t>
      </w:r>
      <w:r>
        <w:rPr>
          <w:rFonts w:eastAsia="仿宋_GB2312"/>
          <w:kern w:val="0"/>
          <w:sz w:val="32"/>
          <w:szCs w:val="32"/>
          <w:lang w:val="en"/>
        </w:rPr>
        <w:t>，</w:t>
      </w:r>
      <w:r>
        <w:rPr>
          <w:rFonts w:hint="eastAsia" w:eastAsia="仿宋_GB2312"/>
          <w:kern w:val="0"/>
          <w:sz w:val="32"/>
          <w:szCs w:val="32"/>
        </w:rPr>
        <w:t>加快基础研究成果向产业技术转化。</w:t>
      </w:r>
    </w:p>
    <w:p>
      <w:pPr>
        <w:spacing w:line="560" w:lineRule="exact"/>
        <w:ind w:firstLine="640" w:firstLineChars="200"/>
        <w:rPr>
          <w:rFonts w:eastAsia="仿宋_GB2312"/>
          <w:kern w:val="0"/>
          <w:sz w:val="32"/>
          <w:szCs w:val="32"/>
        </w:rPr>
      </w:pPr>
      <w:r>
        <w:rPr>
          <w:rFonts w:hint="eastAsia" w:eastAsia="仿宋_GB2312"/>
          <w:kern w:val="0"/>
          <w:sz w:val="32"/>
          <w:szCs w:val="32"/>
        </w:rPr>
        <w:t>园区支持高校院所、科技型企业建立专业化技术转移机构，与国内及天津市技术转移体系互联互通，依托园区内高等院校的学科优势和科研团队，促进智能制造、人工智能、生物医药、新材料等产业引育，打造具有全国影响力的产业创新中心。</w:t>
      </w:r>
    </w:p>
    <w:p>
      <w:pPr>
        <w:spacing w:line="560" w:lineRule="exact"/>
        <w:ind w:firstLine="640" w:firstLineChars="200"/>
        <w:rPr>
          <w:rFonts w:eastAsia="仿宋_GB2312"/>
          <w:kern w:val="0"/>
          <w:sz w:val="32"/>
          <w:szCs w:val="32"/>
        </w:rPr>
      </w:pPr>
      <w:r>
        <w:rPr>
          <w:rFonts w:hint="eastAsia" w:hAnsi="黑体" w:eastAsia="黑体"/>
          <w:bCs/>
          <w:sz w:val="32"/>
          <w:szCs w:val="32"/>
        </w:rPr>
        <w:t>第十九条</w:t>
      </w:r>
      <w:r>
        <w:rPr>
          <w:rFonts w:hint="eastAsia" w:hAnsi="黑体" w:eastAsia="黑体" w:cs="黑体"/>
          <w:bCs/>
          <w:kern w:val="0"/>
          <w:sz w:val="32"/>
          <w:szCs w:val="32"/>
        </w:rPr>
        <w:t>　</w:t>
      </w:r>
      <w:r>
        <w:rPr>
          <w:rFonts w:hint="eastAsia" w:eastAsia="仿宋_GB2312"/>
          <w:kern w:val="0"/>
          <w:sz w:val="32"/>
          <w:szCs w:val="32"/>
        </w:rPr>
        <w:t>支持高等院校、科研院所与企业采取研发、技术许可、技术转让、技术入股以及共建研发机构、共建开放实验室等形式，开展产学研用合作，完善科技成果转化、产业化体制机制。</w:t>
      </w:r>
    </w:p>
    <w:p>
      <w:pPr>
        <w:spacing w:line="560" w:lineRule="exact"/>
        <w:ind w:firstLine="640" w:firstLineChars="200"/>
        <w:rPr>
          <w:rFonts w:eastAsia="仿宋_GB2312"/>
          <w:kern w:val="0"/>
          <w:sz w:val="32"/>
          <w:szCs w:val="32"/>
        </w:rPr>
      </w:pPr>
      <w:r>
        <w:rPr>
          <w:rFonts w:hint="eastAsia" w:eastAsia="仿宋_GB2312"/>
          <w:kern w:val="0"/>
          <w:sz w:val="32"/>
          <w:szCs w:val="32"/>
        </w:rPr>
        <w:t>园区支持企业联合高等院校、科研院所和其他创新主体组建产业技术创新联盟。符合条件的可以依法申请登记为法人。</w:t>
      </w:r>
    </w:p>
    <w:p>
      <w:pPr>
        <w:spacing w:line="560" w:lineRule="exact"/>
        <w:ind w:firstLine="640" w:firstLineChars="200"/>
        <w:rPr>
          <w:rFonts w:eastAsia="仿宋_GB2312"/>
          <w:kern w:val="0"/>
          <w:sz w:val="32"/>
          <w:szCs w:val="32"/>
        </w:rPr>
      </w:pPr>
      <w:r>
        <w:rPr>
          <w:rFonts w:hint="eastAsia" w:hAnsi="黑体" w:eastAsia="黑体"/>
          <w:bCs/>
          <w:sz w:val="32"/>
          <w:szCs w:val="32"/>
        </w:rPr>
        <w:t>第二十条</w:t>
      </w:r>
      <w:r>
        <w:rPr>
          <w:rFonts w:hint="eastAsia" w:hAnsi="黑体" w:eastAsia="黑体" w:cs="黑体"/>
          <w:bCs/>
          <w:kern w:val="0"/>
          <w:sz w:val="32"/>
          <w:szCs w:val="32"/>
        </w:rPr>
        <w:t>　</w:t>
      </w:r>
      <w:r>
        <w:rPr>
          <w:rFonts w:hint="eastAsia" w:eastAsia="仿宋_GB2312"/>
          <w:kern w:val="0"/>
          <w:sz w:val="32"/>
          <w:szCs w:val="32"/>
        </w:rPr>
        <w:t>园区鼓励高等院校、科研院所、企业及其他组织和个人设立各类创新创业孵化服务机构，建设专业技术平台和公共服务平台，为创新创业主体提供指导和服务。</w:t>
      </w:r>
    </w:p>
    <w:p>
      <w:pPr>
        <w:spacing w:line="560" w:lineRule="exact"/>
        <w:ind w:firstLine="640" w:firstLineChars="200"/>
        <w:rPr>
          <w:rFonts w:eastAsia="仿宋_GB2312"/>
          <w:kern w:val="0"/>
          <w:sz w:val="32"/>
          <w:szCs w:val="32"/>
        </w:rPr>
      </w:pPr>
      <w:r>
        <w:rPr>
          <w:rFonts w:hint="eastAsia" w:hAnsi="黑体" w:eastAsia="黑体"/>
          <w:bCs/>
          <w:sz w:val="32"/>
          <w:szCs w:val="32"/>
        </w:rPr>
        <w:t>第二十一条　</w:t>
      </w:r>
      <w:r>
        <w:rPr>
          <w:rFonts w:hint="eastAsia" w:eastAsia="仿宋_GB2312"/>
          <w:kern w:val="0"/>
          <w:sz w:val="32"/>
          <w:szCs w:val="32"/>
        </w:rPr>
        <w:t>园区举办或者鼓励高等院校、科研院所、行业协会以及其他组织举办创新创业培训、赛事、论坛、展会、创意征集等活动，营造支持创新的社会氛围。</w:t>
      </w:r>
    </w:p>
    <w:p>
      <w:pPr>
        <w:spacing w:line="560" w:lineRule="exact"/>
        <w:ind w:firstLine="640" w:firstLineChars="200"/>
        <w:rPr>
          <w:rFonts w:eastAsia="仿宋_GB2312"/>
          <w:kern w:val="0"/>
          <w:sz w:val="32"/>
          <w:szCs w:val="32"/>
        </w:rPr>
      </w:pPr>
      <w:r>
        <w:rPr>
          <w:rFonts w:hint="eastAsia" w:hAnsi="黑体" w:eastAsia="黑体"/>
          <w:bCs/>
          <w:sz w:val="32"/>
          <w:szCs w:val="32"/>
        </w:rPr>
        <w:t>第二十二条</w:t>
      </w:r>
      <w:r>
        <w:rPr>
          <w:rFonts w:hint="eastAsia" w:hAnsi="黑体" w:eastAsia="黑体" w:cs="黑体"/>
          <w:bCs/>
          <w:kern w:val="0"/>
          <w:sz w:val="32"/>
          <w:szCs w:val="32"/>
        </w:rPr>
        <w:t>　</w:t>
      </w:r>
      <w:r>
        <w:rPr>
          <w:rFonts w:hint="eastAsia" w:eastAsia="仿宋_GB2312"/>
          <w:kern w:val="0"/>
          <w:sz w:val="32"/>
          <w:szCs w:val="32"/>
        </w:rPr>
        <w:t>园区鼓励运用云计算、大数据等信息技术，建设市场化、专业化、开放共享的产教融合信息服务平台，汇聚区域和行业人才供需、校企合作、项目研发、技术服务等各类供求信息，向各类主体提供产教融合信息发布、检索、推荐和相关增值服务。</w:t>
      </w:r>
    </w:p>
    <w:p>
      <w:pPr>
        <w:spacing w:line="560" w:lineRule="exact"/>
        <w:ind w:firstLine="642"/>
        <w:rPr>
          <w:rFonts w:eastAsia="仿宋_GB2312"/>
          <w:kern w:val="0"/>
          <w:sz w:val="32"/>
          <w:szCs w:val="32"/>
        </w:rPr>
      </w:pPr>
      <w:r>
        <w:rPr>
          <w:rFonts w:hint="eastAsia" w:hAnsi="黑体" w:eastAsia="黑体"/>
          <w:bCs/>
          <w:sz w:val="32"/>
          <w:szCs w:val="32"/>
        </w:rPr>
        <w:t>第二十三条</w:t>
      </w:r>
      <w:r>
        <w:rPr>
          <w:rFonts w:hint="eastAsia" w:eastAsia="仿宋_GB2312"/>
          <w:kern w:val="0"/>
          <w:sz w:val="32"/>
          <w:szCs w:val="32"/>
        </w:rPr>
        <w:t>　高等院校、科研院所在园区内转化职务科技成果的，依据《中华人民共和国促进科技成果转化法》及相关规定，给予科研人员奖励和报酬，享受成果转化税收减免政策。</w:t>
      </w:r>
    </w:p>
    <w:p>
      <w:pPr>
        <w:spacing w:line="560" w:lineRule="exact"/>
        <w:ind w:firstLine="640" w:firstLineChars="200"/>
        <w:rPr>
          <w:rFonts w:eastAsia="仿宋_GB2312"/>
          <w:kern w:val="0"/>
          <w:sz w:val="32"/>
          <w:szCs w:val="32"/>
        </w:rPr>
      </w:pPr>
      <w:r>
        <w:rPr>
          <w:rFonts w:hint="eastAsia" w:hAnsi="黑体" w:eastAsia="黑体"/>
          <w:bCs/>
          <w:sz w:val="32"/>
          <w:szCs w:val="32"/>
        </w:rPr>
        <w:t>第二十四条</w:t>
      </w:r>
      <w:r>
        <w:rPr>
          <w:rFonts w:hint="eastAsia" w:hAnsi="黑体" w:eastAsia="黑体" w:cs="黑体"/>
          <w:bCs/>
          <w:kern w:val="0"/>
          <w:sz w:val="32"/>
          <w:szCs w:val="32"/>
        </w:rPr>
        <w:t>　</w:t>
      </w:r>
      <w:r>
        <w:rPr>
          <w:rFonts w:hint="eastAsia" w:eastAsia="仿宋_GB2312"/>
          <w:kern w:val="0"/>
          <w:sz w:val="32"/>
          <w:szCs w:val="32"/>
        </w:rPr>
        <w:t>园区鼓励高等院校、研发机构组建集技术转移与知识产权管理运营为一体的专门机构，建立市场化合作机制，进行知识产权资产管理，开展科技成果转移转化。</w:t>
      </w:r>
    </w:p>
    <w:p>
      <w:pPr>
        <w:spacing w:line="560" w:lineRule="exact"/>
        <w:ind w:firstLine="640" w:firstLineChars="200"/>
        <w:rPr>
          <w:rFonts w:eastAsia="仿宋_GB2312"/>
          <w:kern w:val="0"/>
          <w:sz w:val="32"/>
          <w:szCs w:val="32"/>
        </w:rPr>
      </w:pPr>
      <w:r>
        <w:rPr>
          <w:rFonts w:hint="eastAsia" w:eastAsia="仿宋_GB2312"/>
          <w:kern w:val="0"/>
          <w:sz w:val="32"/>
          <w:szCs w:val="32"/>
        </w:rPr>
        <w:t>鼓励社会资本设立知识产权运营中心，开展知识产权收储、开发、组合、投资等服务。</w:t>
      </w:r>
    </w:p>
    <w:p>
      <w:pPr>
        <w:spacing w:line="560" w:lineRule="exact"/>
        <w:ind w:firstLine="640" w:firstLineChars="200"/>
        <w:rPr>
          <w:rFonts w:eastAsia="仿宋_GB2312"/>
          <w:kern w:val="0"/>
          <w:sz w:val="32"/>
          <w:szCs w:val="32"/>
        </w:rPr>
      </w:pPr>
      <w:r>
        <w:rPr>
          <w:rFonts w:hint="eastAsia" w:eastAsia="仿宋_GB2312"/>
          <w:kern w:val="0"/>
          <w:sz w:val="32"/>
          <w:szCs w:val="32"/>
        </w:rPr>
        <w:t>鼓励知识产权服务机构开展知识产权咨询、代理、评估、质押融资和托管运营等服务。</w:t>
      </w:r>
    </w:p>
    <w:p>
      <w:pPr>
        <w:spacing w:line="560" w:lineRule="exact"/>
        <w:ind w:firstLine="640" w:firstLineChars="200"/>
        <w:rPr>
          <w:rFonts w:eastAsia="仿宋_GB2312"/>
          <w:kern w:val="0"/>
          <w:sz w:val="32"/>
          <w:szCs w:val="32"/>
        </w:rPr>
      </w:pPr>
      <w:r>
        <w:rPr>
          <w:rFonts w:hint="eastAsia" w:hAnsi="黑体" w:eastAsia="黑体"/>
          <w:bCs/>
          <w:sz w:val="32"/>
          <w:szCs w:val="32"/>
        </w:rPr>
        <w:t>第二十五条　</w:t>
      </w:r>
      <w:r>
        <w:rPr>
          <w:rFonts w:hint="eastAsia" w:eastAsia="仿宋_GB2312"/>
          <w:kern w:val="0"/>
          <w:sz w:val="32"/>
          <w:szCs w:val="32"/>
        </w:rPr>
        <w:t>园区建立知识产权保护服务体系，鼓励和支持知识产权的创造、运用、保护和管理，加</w:t>
      </w:r>
      <w:r>
        <w:rPr>
          <w:rFonts w:eastAsia="仿宋_GB2312"/>
          <w:kern w:val="0"/>
          <w:sz w:val="32"/>
          <w:szCs w:val="32"/>
          <w:lang w:val="en"/>
        </w:rPr>
        <w:t>大</w:t>
      </w:r>
      <w:r>
        <w:rPr>
          <w:rFonts w:hint="eastAsia" w:eastAsia="仿宋_GB2312"/>
          <w:kern w:val="0"/>
          <w:sz w:val="32"/>
          <w:szCs w:val="32"/>
        </w:rPr>
        <w:t>知识产权保护力度。</w:t>
      </w:r>
    </w:p>
    <w:p>
      <w:pPr>
        <w:spacing w:line="560" w:lineRule="exact"/>
        <w:ind w:firstLine="640" w:firstLineChars="200"/>
        <w:rPr>
          <w:rFonts w:eastAsia="仿宋_GB2312"/>
          <w:kern w:val="0"/>
          <w:sz w:val="32"/>
          <w:szCs w:val="32"/>
        </w:rPr>
      </w:pPr>
      <w:r>
        <w:rPr>
          <w:rFonts w:hint="eastAsia" w:hAnsi="黑体" w:eastAsia="黑体"/>
          <w:bCs/>
          <w:sz w:val="32"/>
          <w:szCs w:val="32"/>
        </w:rPr>
        <w:t>第二十六条</w:t>
      </w:r>
      <w:r>
        <w:rPr>
          <w:rFonts w:hint="eastAsia" w:hAnsi="黑体" w:eastAsia="黑体" w:cs="黑体"/>
          <w:bCs/>
          <w:kern w:val="0"/>
          <w:sz w:val="32"/>
          <w:szCs w:val="32"/>
        </w:rPr>
        <w:t>　</w:t>
      </w:r>
      <w:r>
        <w:rPr>
          <w:rFonts w:hint="eastAsia" w:eastAsia="仿宋_GB2312"/>
          <w:kern w:val="0"/>
          <w:sz w:val="32"/>
          <w:szCs w:val="32"/>
        </w:rPr>
        <w:t>鼓励和支持各类金融机构创新金融产品和服务模式，</w:t>
      </w:r>
      <w:r>
        <w:rPr>
          <w:rFonts w:eastAsia="仿宋_GB2312"/>
          <w:kern w:val="0"/>
          <w:sz w:val="32"/>
          <w:szCs w:val="32"/>
        </w:rPr>
        <w:t>积极探索开展知识产权质押</w:t>
      </w:r>
      <w:r>
        <w:rPr>
          <w:rFonts w:hint="eastAsia" w:eastAsia="仿宋_GB2312"/>
          <w:kern w:val="0"/>
          <w:sz w:val="32"/>
          <w:szCs w:val="32"/>
        </w:rPr>
        <w:t>融资</w:t>
      </w:r>
      <w:r>
        <w:rPr>
          <w:rFonts w:eastAsia="仿宋_GB2312"/>
          <w:kern w:val="0"/>
          <w:sz w:val="32"/>
          <w:szCs w:val="32"/>
        </w:rPr>
        <w:t>等多样化的科技金融服务，</w:t>
      </w:r>
      <w:r>
        <w:rPr>
          <w:rFonts w:hint="eastAsia" w:eastAsia="仿宋_GB2312"/>
          <w:kern w:val="0"/>
          <w:sz w:val="32"/>
          <w:szCs w:val="32"/>
        </w:rPr>
        <w:t>为科技成果转化、产教融合提供优质金融服务。</w:t>
      </w:r>
    </w:p>
    <w:p>
      <w:pPr>
        <w:spacing w:line="560" w:lineRule="exact"/>
        <w:ind w:firstLine="630"/>
        <w:rPr>
          <w:rFonts w:eastAsia="仿宋_GB2312"/>
          <w:kern w:val="0"/>
          <w:sz w:val="32"/>
          <w:szCs w:val="32"/>
        </w:rPr>
      </w:pPr>
      <w:r>
        <w:rPr>
          <w:rFonts w:hint="eastAsia" w:eastAsia="仿宋_GB2312"/>
          <w:kern w:val="0"/>
          <w:sz w:val="32"/>
          <w:szCs w:val="32"/>
        </w:rPr>
        <w:t>鼓励和支持建设科技型企业创新创业融资生态。加强企业与资本市场的交流互动，支持科技型中小企业积极利用资本市场融资发展。鼓励投资</w:t>
      </w:r>
      <w:r>
        <w:rPr>
          <w:rFonts w:eastAsia="仿宋_GB2312"/>
          <w:kern w:val="0"/>
          <w:sz w:val="32"/>
          <w:szCs w:val="32"/>
        </w:rPr>
        <w:t>机构提升投后管理和综合服务能力</w:t>
      </w:r>
      <w:r>
        <w:rPr>
          <w:rFonts w:hint="eastAsia" w:eastAsia="仿宋_GB2312"/>
          <w:kern w:val="0"/>
          <w:sz w:val="32"/>
          <w:szCs w:val="32"/>
        </w:rPr>
        <w:t>，</w:t>
      </w:r>
      <w:r>
        <w:rPr>
          <w:rFonts w:eastAsia="仿宋_GB2312"/>
          <w:kern w:val="0"/>
          <w:sz w:val="32"/>
          <w:szCs w:val="32"/>
        </w:rPr>
        <w:t>在战略规划、专业咨询、后续融资、上市服务等环节为企业提供长期指导。</w:t>
      </w:r>
    </w:p>
    <w:p>
      <w:pPr>
        <w:spacing w:line="560" w:lineRule="exact"/>
        <w:ind w:firstLine="640" w:firstLineChars="200"/>
        <w:rPr>
          <w:rFonts w:eastAsia="仿宋_GB2312"/>
          <w:kern w:val="0"/>
          <w:sz w:val="32"/>
          <w:szCs w:val="32"/>
        </w:rPr>
      </w:pPr>
      <w:r>
        <w:rPr>
          <w:rFonts w:hint="eastAsia" w:hAnsi="黑体" w:eastAsia="黑体"/>
          <w:bCs/>
          <w:sz w:val="32"/>
          <w:szCs w:val="32"/>
        </w:rPr>
        <w:t>第二十七条　</w:t>
      </w:r>
      <w:r>
        <w:rPr>
          <w:rFonts w:hint="eastAsia" w:eastAsia="仿宋_GB2312"/>
          <w:kern w:val="0"/>
          <w:sz w:val="32"/>
          <w:szCs w:val="32"/>
        </w:rPr>
        <w:t>园区管委会制定创新创业型人才发展规划，健全人才培养、引进、使用、评价、激励和服务机制，发挥园区载体优势作用，借助社会机构专业资源优势，吸引、培育、扶持高层次创新人才、产业人才、复合型人才等高端人才，为园区创新创业发展聚集智力资源。</w:t>
      </w:r>
    </w:p>
    <w:p>
      <w:pPr>
        <w:spacing w:line="560" w:lineRule="exact"/>
        <w:rPr>
          <w:rFonts w:eastAsia="仿宋_GB2312"/>
          <w:kern w:val="0"/>
          <w:sz w:val="32"/>
          <w:szCs w:val="32"/>
        </w:rPr>
      </w:pPr>
      <w:r>
        <w:rPr>
          <w:rFonts w:hint="eastAsia" w:eastAsia="仿宋_GB2312"/>
          <w:kern w:val="0"/>
          <w:sz w:val="32"/>
          <w:szCs w:val="32"/>
        </w:rPr>
        <w:t xml:space="preserve">    市、区人民政府有关部门应当在园区引进人才及其家属的户籍、医疗、教育、住房和出入境事项的办理上开通绿色通道，并在科研项目申报、研发投入、设备购置更新等方面给予支持。</w:t>
      </w:r>
    </w:p>
    <w:p>
      <w:pPr>
        <w:spacing w:line="560" w:lineRule="exact"/>
        <w:rPr>
          <w:rFonts w:eastAsia="仿宋_GB2312"/>
          <w:kern w:val="0"/>
          <w:sz w:val="32"/>
          <w:szCs w:val="32"/>
        </w:rPr>
      </w:pPr>
      <w:r>
        <w:rPr>
          <w:rFonts w:hint="eastAsia" w:eastAsia="黑体"/>
          <w:bCs/>
          <w:sz w:val="32"/>
          <w:szCs w:val="32"/>
        </w:rPr>
        <w:t xml:space="preserve">    </w:t>
      </w:r>
      <w:r>
        <w:rPr>
          <w:rFonts w:hint="eastAsia" w:hAnsi="黑体" w:eastAsia="黑体"/>
          <w:bCs/>
          <w:sz w:val="32"/>
          <w:szCs w:val="32"/>
        </w:rPr>
        <w:t>第二十八条</w:t>
      </w:r>
      <w:r>
        <w:rPr>
          <w:rFonts w:hint="eastAsia" w:eastAsia="仿宋_GB2312"/>
          <w:kern w:val="0"/>
          <w:sz w:val="32"/>
          <w:szCs w:val="32"/>
        </w:rPr>
        <w:t>　在园区内进行的改革创新未能实现预期目标，但符合党和国家确定的改革方向，其决策程序符合法律、法规、规章规定，且勤勉尽责，未牟取私利或者损害公共利益的，对有关单位和个人不作负面评价，免除相关决策责任。</w:t>
      </w:r>
    </w:p>
    <w:p>
      <w:pPr>
        <w:jc w:val="center"/>
        <w:outlineLvl w:val="1"/>
        <w:rPr>
          <w:rFonts w:eastAsia="黑体"/>
          <w:bCs/>
          <w:sz w:val="32"/>
          <w:szCs w:val="32"/>
        </w:rPr>
      </w:pPr>
    </w:p>
    <w:p>
      <w:pPr>
        <w:jc w:val="center"/>
        <w:outlineLvl w:val="1"/>
        <w:rPr>
          <w:rFonts w:eastAsia="黑体"/>
          <w:bCs/>
          <w:sz w:val="32"/>
          <w:szCs w:val="32"/>
        </w:rPr>
      </w:pPr>
      <w:r>
        <w:rPr>
          <w:rFonts w:hint="eastAsia" w:eastAsia="黑体"/>
          <w:bCs/>
          <w:sz w:val="32"/>
          <w:szCs w:val="32"/>
        </w:rPr>
        <w:t>第五章　附则</w:t>
      </w:r>
    </w:p>
    <w:p>
      <w:pPr>
        <w:spacing w:line="560" w:lineRule="exact"/>
        <w:ind w:firstLine="640" w:firstLineChars="200"/>
        <w:rPr>
          <w:rFonts w:eastAsia="仿宋_GB2312"/>
          <w:kern w:val="0"/>
          <w:sz w:val="32"/>
          <w:szCs w:val="32"/>
        </w:rPr>
      </w:pPr>
      <w:r>
        <w:rPr>
          <w:rFonts w:hint="eastAsia" w:hAnsi="黑体" w:eastAsia="黑体"/>
          <w:bCs/>
          <w:sz w:val="32"/>
          <w:szCs w:val="32"/>
        </w:rPr>
        <w:t>第二十九条　</w:t>
      </w:r>
      <w:r>
        <w:rPr>
          <w:rFonts w:hint="eastAsia" w:eastAsia="仿宋_GB2312"/>
          <w:kern w:val="0"/>
          <w:sz w:val="32"/>
          <w:szCs w:val="32"/>
        </w:rPr>
        <w:t>本规定自2021年  月  日起施行。2011年2月23日颁布的《天津海河教育园区管理规定》（天津市人民政府令第34号）同时废止。</w:t>
      </w:r>
    </w:p>
    <w:p>
      <w:pPr>
        <w:spacing w:line="400" w:lineRule="exact"/>
        <w:ind w:firstLine="640" w:firstLineChars="200"/>
        <w:rPr>
          <w:rFonts w:eastAsia="仿宋_GB2312"/>
          <w:kern w:val="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377799"/>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CA"/>
    <w:rsid w:val="000936D1"/>
    <w:rsid w:val="00251FCA"/>
    <w:rsid w:val="003649DA"/>
    <w:rsid w:val="005B0A71"/>
    <w:rsid w:val="00A26196"/>
    <w:rsid w:val="00B62F47"/>
    <w:rsid w:val="00E15876"/>
    <w:rsid w:val="00EA7535"/>
    <w:rsid w:val="00F45BD5"/>
    <w:rsid w:val="3744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1"/>
    <w:qFormat/>
    <w:uiPriority w:val="10"/>
    <w:pPr>
      <w:spacing w:before="240" w:after="60"/>
      <w:jc w:val="center"/>
      <w:outlineLvl w:val="0"/>
    </w:pPr>
    <w:rPr>
      <w:rFonts w:asciiTheme="majorHAnsi" w:hAnsiTheme="majorHAnsi" w:cstheme="majorBidi"/>
      <w:b/>
      <w:bCs/>
      <w:sz w:val="32"/>
      <w:szCs w:val="32"/>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1">
    <w:name w:val="标题 Char"/>
    <w:basedOn w:val="7"/>
    <w:link w:val="5"/>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554</Words>
  <Characters>3163</Characters>
  <Lines>26</Lines>
  <Paragraphs>7</Paragraphs>
  <TotalTime>40</TotalTime>
  <ScaleCrop>false</ScaleCrop>
  <LinksUpToDate>false</LinksUpToDate>
  <CharactersWithSpaces>3710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2021-03-12T10:00:00Z</dcterms:created>
  <dc:creator>孙静</dc:creator>
  <cp:lastModifiedBy>RainForest1391778072</cp:lastModifiedBy>
  <dcterms:modified xsi:type="dcterms:W3CDTF">2021-03-12T17:12:39Z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CC6E91DC8F7B41928DBF94477C0D530B</vt:lpwstr>
  </property>
</Properties>
</file>